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Pr>
          <w:sz w:val="22"/>
          <w:szCs w:val="22"/>
          <w:lang w:val="en-CA"/>
        </w:rPr>
        <w:fldChar w:fldCharType="begin"/>
      </w:r>
      <w:r>
        <w:rPr>
          <w:sz w:val="22"/>
          <w:szCs w:val="22"/>
          <w:lang w:val="en-CA"/>
        </w:rPr>
        <w:instrText xml:space="preserve"> SEQ CHAPTER \h \r 1</w:instrText>
      </w:r>
      <w:r>
        <w:rPr>
          <w:sz w:val="22"/>
          <w:szCs w:val="22"/>
          <w:lang w:val="en-CA"/>
        </w:rPr>
        <w:fldChar w:fldCharType="end"/>
      </w:r>
      <w:r>
        <w:rPr>
          <w:b/>
          <w:bCs/>
          <w:sz w:val="22"/>
          <w:szCs w:val="22"/>
        </w:rPr>
        <w:t xml:space="preserve">2009 </w:t>
      </w:r>
      <w:r>
        <w:rPr>
          <w:b/>
          <w:bCs/>
          <w:smallCaps/>
          <w:sz w:val="22"/>
          <w:szCs w:val="22"/>
        </w:rPr>
        <w:t xml:space="preserve">Assessment Report for the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Pr>
          <w:b/>
          <w:bCs/>
          <w:smallCaps/>
          <w:sz w:val="22"/>
          <w:szCs w:val="22"/>
        </w:rPr>
        <w:t>Graduate Program in Chemistry at</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smartTag w:uri="urn:schemas-microsoft-com:office:smarttags" w:element="place">
        <w:smartTag w:uri="urn:schemas-microsoft-com:office:smarttags" w:element="PlaceName">
          <w:r>
            <w:rPr>
              <w:b/>
              <w:bCs/>
              <w:smallCaps/>
              <w:sz w:val="22"/>
              <w:szCs w:val="22"/>
            </w:rPr>
            <w:t>Cleveland</w:t>
          </w:r>
        </w:smartTag>
        <w:r>
          <w:rPr>
            <w:b/>
            <w:bCs/>
            <w:smallCaps/>
            <w:sz w:val="22"/>
            <w:szCs w:val="22"/>
          </w:rPr>
          <w:t xml:space="preserve"> </w:t>
        </w:r>
        <w:smartTag w:uri="urn:schemas-microsoft-com:office:smarttags" w:element="PlaceType">
          <w:r>
            <w:rPr>
              <w:b/>
              <w:bCs/>
              <w:smallCaps/>
              <w:sz w:val="22"/>
              <w:szCs w:val="22"/>
            </w:rPr>
            <w:t>State</w:t>
          </w:r>
        </w:smartTag>
        <w:r>
          <w:rPr>
            <w:b/>
            <w:bCs/>
            <w:smallCaps/>
            <w:sz w:val="22"/>
            <w:szCs w:val="22"/>
          </w:rPr>
          <w:t xml:space="preserve"> </w:t>
        </w:r>
        <w:smartTag w:uri="urn:schemas-microsoft-com:office:smarttags" w:element="PlaceType">
          <w:r>
            <w:rPr>
              <w:b/>
              <w:bCs/>
              <w:smallCaps/>
              <w:sz w:val="22"/>
              <w:szCs w:val="22"/>
            </w:rPr>
            <w:t>University</w:t>
          </w:r>
        </w:smartTag>
      </w:smartTag>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smallCaps/>
          <w:sz w:val="22"/>
          <w:szCs w:val="22"/>
        </w:rPr>
      </w:pPr>
      <w:r>
        <w:rPr>
          <w:b/>
          <w:bCs/>
          <w:smallCaps/>
          <w:sz w:val="22"/>
          <w:szCs w:val="22"/>
        </w:rPr>
        <w:t>INTRODUCTION</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Chemistry Graduate Program includes M.S. and Ph.D. degrees that students may pursue on a full- or part-time basis. The M.S. degree consists of the traditional master’s degree, but a non-traditional “course work” M.S. degree is also offered.  The course work master’s degree greatly benefits those students pursuing the degree on a part-time basis.  The Department offers the Ph.D. degree in Clinical-Bioanalytical Chemistry.  This is a joint program with the Lerner Research Institute of the Cleveland Clinic.  Ph.D. students also have the opportunity to pursue certification in Clinical Chemistry or a specialization in Cellular and Molecular Medicine.  Many students obtain either or both certifications that greatly enhance their skills, knowledge, and employability.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Pr>
          <w:b/>
          <w:bCs/>
          <w:sz w:val="22"/>
          <w:szCs w:val="22"/>
        </w:rPr>
        <w:t xml:space="preserve">Faculty Demographics.   </w:t>
      </w:r>
      <w:r>
        <w:rPr>
          <w:sz w:val="22"/>
          <w:szCs w:val="22"/>
        </w:rPr>
        <w:t xml:space="preserve">There are 13 tenure track faculty members in the Department representing five areas of chemistry: Analytical (Bayachou, Guo, Turner, Xu); Clinical (Anderson, Kalafatis, Wei, Zhou); Inorganic (Duraj); Organic (Masnovi, Sun); and Physical (Ball, Gogonea).  One faculty member (Su) has been hired and will begin Fall Semester 2009.  Twenty-nine researchers from the Lerner Research Institute of the Cleveland Clinic hold Cleveland Clinic faculty appointments. The Department also has two adjunct faculty, twelve part-time lecturers, and two postdoctoral fellows.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chemistry faculty continues the partnerships described in assessment reports of previous years.  The Clinical Chemistry program has a history of extensive collaboration with the </w:t>
      </w:r>
      <w:r>
        <w:rPr>
          <w:rStyle w:val="depttitle"/>
          <w:color w:val="000000"/>
          <w:sz w:val="22"/>
          <w:szCs w:val="22"/>
        </w:rPr>
        <w:t>Pathology and Laboratory Medicine Institute</w:t>
      </w:r>
      <w:r>
        <w:rPr>
          <w:sz w:val="22"/>
          <w:szCs w:val="22"/>
        </w:rPr>
        <w:t xml:space="preserve"> at The Cleveland Clinic, </w:t>
      </w:r>
      <w:smartTag w:uri="urn:schemas-microsoft-com:office:smarttags" w:element="PlaceName">
        <w:r>
          <w:rPr>
            <w:sz w:val="22"/>
            <w:szCs w:val="22"/>
          </w:rPr>
          <w:t>MetroHealth</w:t>
        </w:r>
      </w:smartTag>
      <w:r>
        <w:rPr>
          <w:sz w:val="22"/>
          <w:szCs w:val="22"/>
        </w:rPr>
        <w:t xml:space="preserve"> </w:t>
      </w:r>
      <w:smartTag w:uri="urn:schemas-microsoft-com:office:smarttags" w:element="PlaceName">
        <w:r>
          <w:rPr>
            <w:sz w:val="22"/>
            <w:szCs w:val="22"/>
          </w:rPr>
          <w:t>Medical</w:t>
        </w:r>
      </w:smartTag>
      <w:r>
        <w:rPr>
          <w:sz w:val="22"/>
          <w:szCs w:val="22"/>
        </w:rPr>
        <w:t xml:space="preserve"> </w:t>
      </w:r>
      <w:smartTag w:uri="urn:schemas-microsoft-com:office:smarttags" w:element="PlaceType">
        <w:r>
          <w:rPr>
            <w:sz w:val="22"/>
            <w:szCs w:val="22"/>
          </w:rPr>
          <w:t>Center</w:t>
        </w:r>
      </w:smartTag>
      <w:r>
        <w:rPr>
          <w:sz w:val="22"/>
          <w:szCs w:val="22"/>
        </w:rPr>
        <w:t xml:space="preserve"> and other local hospitals, as well as new collaborations that have been forged with doctors from </w:t>
      </w:r>
      <w:smartTag w:uri="urn:schemas-microsoft-com:office:smarttags" w:element="PlaceName">
        <w:r>
          <w:rPr>
            <w:sz w:val="22"/>
            <w:szCs w:val="22"/>
          </w:rPr>
          <w:t>Case</w:t>
        </w:r>
      </w:smartTag>
      <w:r>
        <w:rPr>
          <w:sz w:val="22"/>
          <w:szCs w:val="22"/>
        </w:rPr>
        <w:t xml:space="preserve"> </w:t>
      </w:r>
      <w:smartTag w:uri="urn:schemas-microsoft-com:office:smarttags" w:element="PlaceName">
        <w:r>
          <w:rPr>
            <w:sz w:val="22"/>
            <w:szCs w:val="22"/>
          </w:rPr>
          <w:t>Western Reserve</w:t>
        </w:r>
      </w:smartTag>
      <w:r>
        <w:rPr>
          <w:sz w:val="22"/>
          <w:szCs w:val="22"/>
        </w:rPr>
        <w:t xml:space="preserve"> </w:t>
      </w:r>
      <w:smartTag w:uri="urn:schemas-microsoft-com:office:smarttags" w:element="PlaceType">
        <w:r>
          <w:rPr>
            <w:sz w:val="22"/>
            <w:szCs w:val="22"/>
          </w:rPr>
          <w:t>University</w:t>
        </w:r>
      </w:smartTag>
      <w:r>
        <w:rPr>
          <w:sz w:val="22"/>
          <w:szCs w:val="22"/>
        </w:rPr>
        <w:t xml:space="preserve">, </w:t>
      </w:r>
      <w:smartTag w:uri="urn:schemas-microsoft-com:office:smarttags" w:element="PlaceName">
        <w:r>
          <w:rPr>
            <w:sz w:val="22"/>
            <w:szCs w:val="22"/>
          </w:rPr>
          <w:t>Barberton</w:t>
        </w:r>
      </w:smartTag>
      <w:r>
        <w:rPr>
          <w:sz w:val="22"/>
          <w:szCs w:val="22"/>
        </w:rPr>
        <w:t xml:space="preserve"> </w:t>
      </w:r>
      <w:smartTag w:uri="urn:schemas-microsoft-com:office:smarttags" w:element="PlaceName">
        <w:r>
          <w:rPr>
            <w:sz w:val="22"/>
            <w:szCs w:val="22"/>
          </w:rPr>
          <w:t>Citizens</w:t>
        </w:r>
      </w:smartTag>
      <w:r>
        <w:rPr>
          <w:sz w:val="22"/>
          <w:szCs w:val="22"/>
        </w:rPr>
        <w:t xml:space="preserve"> </w:t>
      </w:r>
      <w:smartTag w:uri="urn:schemas-microsoft-com:office:smarttags" w:element="PlaceType">
        <w:r>
          <w:rPr>
            <w:sz w:val="22"/>
            <w:szCs w:val="22"/>
          </w:rPr>
          <w:t>Hospital</w:t>
        </w:r>
      </w:smartTag>
      <w:r>
        <w:rPr>
          <w:sz w:val="22"/>
          <w:szCs w:val="22"/>
        </w:rPr>
        <w:t xml:space="preserve">, and the DDC Clinic for Special Needs Children in </w:t>
      </w:r>
      <w:smartTag w:uri="urn:schemas-microsoft-com:office:smarttags" w:element="place">
        <w:smartTag w:uri="urn:schemas-microsoft-com:office:smarttags" w:element="City">
          <w:r>
            <w:rPr>
              <w:sz w:val="22"/>
              <w:szCs w:val="22"/>
            </w:rPr>
            <w:t>Middlefield</w:t>
          </w:r>
        </w:smartTag>
        <w:r>
          <w:rPr>
            <w:sz w:val="22"/>
            <w:szCs w:val="22"/>
          </w:rPr>
          <w:t xml:space="preserve">, </w:t>
        </w:r>
        <w:smartTag w:uri="urn:schemas-microsoft-com:office:smarttags" w:element="State">
          <w:r>
            <w:rPr>
              <w:sz w:val="22"/>
              <w:szCs w:val="22"/>
            </w:rPr>
            <w:t>Ohio</w:t>
          </w:r>
        </w:smartTag>
      </w:smartTag>
      <w:r>
        <w:rPr>
          <w:sz w:val="22"/>
          <w:szCs w:val="22"/>
        </w:rPr>
        <w:t xml:space="preserve">.  Other partnerships outside the scope of clinical chemistry include cooperative projects with scientists at the </w:t>
      </w:r>
      <w:smartTag w:uri="urn:schemas-microsoft-com:office:smarttags" w:element="PlaceName">
        <w:r>
          <w:rPr>
            <w:sz w:val="22"/>
            <w:szCs w:val="22"/>
          </w:rPr>
          <w:t>NASA</w:t>
        </w:r>
      </w:smartTag>
      <w:r>
        <w:rPr>
          <w:sz w:val="22"/>
          <w:szCs w:val="22"/>
        </w:rPr>
        <w:t xml:space="preserve"> </w:t>
      </w:r>
      <w:smartTag w:uri="urn:schemas-microsoft-com:office:smarttags" w:element="PlaceName">
        <w:r>
          <w:rPr>
            <w:sz w:val="22"/>
            <w:szCs w:val="22"/>
          </w:rPr>
          <w:t>Glenn</w:t>
        </w:r>
      </w:smartTag>
      <w:r>
        <w:rPr>
          <w:sz w:val="22"/>
          <w:szCs w:val="22"/>
        </w:rPr>
        <w:t xml:space="preserve"> </w:t>
      </w:r>
      <w:smartTag w:uri="urn:schemas-microsoft-com:office:smarttags" w:element="PlaceName">
        <w:r>
          <w:rPr>
            <w:sz w:val="22"/>
            <w:szCs w:val="22"/>
          </w:rPr>
          <w:t>Research</w:t>
        </w:r>
      </w:smartTag>
      <w:r>
        <w:rPr>
          <w:sz w:val="22"/>
          <w:szCs w:val="22"/>
        </w:rPr>
        <w:t xml:space="preserve"> </w:t>
      </w:r>
      <w:smartTag w:uri="urn:schemas-microsoft-com:office:smarttags" w:element="PlaceType">
        <w:r>
          <w:rPr>
            <w:sz w:val="22"/>
            <w:szCs w:val="22"/>
          </w:rPr>
          <w:t>Center</w:t>
        </w:r>
      </w:smartTag>
      <w:r>
        <w:rPr>
          <w:sz w:val="22"/>
          <w:szCs w:val="22"/>
        </w:rPr>
        <w:t xml:space="preserve">, the Ohio Aerospace Institute, </w:t>
      </w:r>
      <w:smartTag w:uri="urn:schemas-microsoft-com:office:smarttags" w:element="PlaceName">
        <w:r>
          <w:rPr>
            <w:sz w:val="22"/>
            <w:szCs w:val="22"/>
          </w:rPr>
          <w:t>MetroHealth</w:t>
        </w:r>
      </w:smartTag>
      <w:r>
        <w:rPr>
          <w:sz w:val="22"/>
          <w:szCs w:val="22"/>
        </w:rPr>
        <w:t xml:space="preserve"> </w:t>
      </w:r>
      <w:smartTag w:uri="urn:schemas-microsoft-com:office:smarttags" w:element="PlaceName">
        <w:r>
          <w:rPr>
            <w:sz w:val="22"/>
            <w:szCs w:val="22"/>
          </w:rPr>
          <w:t>Rammelkamp</w:t>
        </w:r>
      </w:smartTag>
      <w:r>
        <w:rPr>
          <w:sz w:val="22"/>
          <w:szCs w:val="22"/>
        </w:rPr>
        <w:t xml:space="preserve"> </w:t>
      </w:r>
      <w:smartTag w:uri="urn:schemas-microsoft-com:office:smarttags" w:element="PlaceType">
        <w:r>
          <w:rPr>
            <w:sz w:val="22"/>
            <w:szCs w:val="22"/>
          </w:rPr>
          <w:t>Center</w:t>
        </w:r>
      </w:smartTag>
      <w:r>
        <w:rPr>
          <w:sz w:val="22"/>
          <w:szCs w:val="22"/>
        </w:rPr>
        <w:t xml:space="preserve"> for Research, </w:t>
      </w:r>
      <w:smartTag w:uri="urn:schemas-microsoft-com:office:smarttags" w:element="place">
        <w:smartTag w:uri="urn:schemas-microsoft-com:office:smarttags" w:element="PlaceName">
          <w:r>
            <w:rPr>
              <w:sz w:val="22"/>
              <w:szCs w:val="22"/>
            </w:rPr>
            <w:t>MetroHealth</w:t>
          </w:r>
        </w:smartTag>
        <w:r>
          <w:rPr>
            <w:sz w:val="22"/>
            <w:szCs w:val="22"/>
          </w:rPr>
          <w:t xml:space="preserve"> </w:t>
        </w:r>
        <w:smartTag w:uri="urn:schemas-microsoft-com:office:smarttags" w:element="PlaceName">
          <w:r>
            <w:rPr>
              <w:sz w:val="22"/>
              <w:szCs w:val="22"/>
            </w:rPr>
            <w:t>Medical</w:t>
          </w:r>
        </w:smartTag>
        <w:r>
          <w:rPr>
            <w:sz w:val="22"/>
            <w:szCs w:val="22"/>
          </w:rPr>
          <w:t xml:space="preserve"> </w:t>
        </w:r>
        <w:smartTag w:uri="urn:schemas-microsoft-com:office:smarttags" w:element="PlaceType">
          <w:r>
            <w:rPr>
              <w:sz w:val="22"/>
              <w:szCs w:val="22"/>
            </w:rPr>
            <w:t>Center</w:t>
          </w:r>
        </w:smartTag>
      </w:smartTag>
      <w:r>
        <w:rPr>
          <w:sz w:val="22"/>
          <w:szCs w:val="22"/>
        </w:rPr>
        <w:t xml:space="preserve">, and Case Western Reserve University School of Medicine.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Pr>
          <w:b/>
          <w:bCs/>
          <w:sz w:val="22"/>
          <w:szCs w:val="22"/>
        </w:rPr>
        <w:t xml:space="preserve">Student Demographics. </w:t>
      </w:r>
      <w:r>
        <w:rPr>
          <w:sz w:val="22"/>
          <w:szCs w:val="22"/>
        </w:rPr>
        <w:t>There were 92 admitted students in the chemistry graduate program during the 2008-2009 academic year.  Of these, 53 are in the Ph.D. program and 39 are in the M.S. program.  Fourteen (14) of these students are pursuing certification in Clinical Chemistry and nineteen (19) are pursuing specialization in Cellular and Molecular Medicine.  Of the 53 Ph.D. students, 9 were performing research at the Lerner Research Institute of the Cleveland Clinic.</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mallCaps/>
          <w:sz w:val="22"/>
          <w:szCs w:val="22"/>
        </w:rPr>
      </w:pPr>
      <w:r>
        <w:rPr>
          <w:b/>
          <w:bCs/>
          <w:smallCaps/>
          <w:sz w:val="22"/>
          <w:szCs w:val="22"/>
        </w:rPr>
        <w:t>GOALS</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bCs/>
          <w:sz w:val="22"/>
          <w:szCs w:val="22"/>
        </w:rPr>
      </w:pPr>
      <w:r>
        <w:rPr>
          <w:b/>
          <w:bCs/>
          <w:sz w:val="22"/>
          <w:szCs w:val="22"/>
        </w:rPr>
        <w:t>Program Goals</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i/>
          <w:iCs/>
          <w:sz w:val="22"/>
          <w:szCs w:val="22"/>
        </w:rPr>
      </w:pPr>
      <w:r>
        <w:rPr>
          <w:sz w:val="22"/>
          <w:szCs w:val="22"/>
        </w:rPr>
        <w:tab/>
      </w:r>
      <w:r>
        <w:rPr>
          <w:i/>
          <w:iCs/>
          <w:sz w:val="22"/>
          <w:szCs w:val="22"/>
        </w:rPr>
        <w:t>Goal #1</w:t>
      </w:r>
      <w:r>
        <w:rPr>
          <w:i/>
          <w:iCs/>
          <w:sz w:val="22"/>
          <w:szCs w:val="22"/>
        </w:rPr>
        <w:tab/>
      </w:r>
      <w:r>
        <w:rPr>
          <w:i/>
          <w:iCs/>
          <w:sz w:val="22"/>
          <w:szCs w:val="22"/>
        </w:rPr>
        <w:tab/>
        <w:t>Students attain a fundamental understanding of all areas of modern chemistry and a sophisticated knowledge and understanding of a specialized area of modern chemistry.</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2"/>
          <w:szCs w:val="22"/>
        </w:rPr>
      </w:pPr>
    </w:p>
    <w:p w:rsidR="009B327D" w:rsidRDefault="009B32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rPr>
          <w:i/>
          <w:iCs/>
          <w:sz w:val="22"/>
          <w:szCs w:val="22"/>
        </w:rPr>
      </w:pPr>
      <w:r>
        <w:rPr>
          <w:i/>
          <w:iCs/>
          <w:sz w:val="22"/>
          <w:szCs w:val="22"/>
        </w:rPr>
        <w:t>Goal #2</w:t>
      </w:r>
      <w:r>
        <w:rPr>
          <w:i/>
          <w:iCs/>
          <w:sz w:val="22"/>
          <w:szCs w:val="22"/>
        </w:rPr>
        <w:tab/>
      </w:r>
      <w:r>
        <w:rPr>
          <w:i/>
          <w:iCs/>
          <w:sz w:val="22"/>
          <w:szCs w:val="22"/>
        </w:rPr>
        <w:tab/>
        <w:t>Students attain a deep understanding of the design and execution of experimental and/or theoretical working in the area of specialization</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i/>
          <w:iCs/>
          <w:sz w:val="22"/>
          <w:szCs w:val="22"/>
        </w:rPr>
      </w:pPr>
      <w:r>
        <w:rPr>
          <w:i/>
          <w:iCs/>
          <w:sz w:val="22"/>
          <w:szCs w:val="22"/>
        </w:rPr>
        <w:tab/>
        <w:t>Goal #3</w:t>
      </w:r>
      <w:r>
        <w:rPr>
          <w:i/>
          <w:iCs/>
          <w:sz w:val="22"/>
          <w:szCs w:val="22"/>
        </w:rPr>
        <w:tab/>
      </w:r>
      <w:r>
        <w:rPr>
          <w:i/>
          <w:iCs/>
          <w:sz w:val="22"/>
          <w:szCs w:val="22"/>
        </w:rPr>
        <w:tab/>
        <w:t>Students attain a professional-level ability to communicate in chemistry and especially in the area of specialization.</w:t>
      </w:r>
    </w:p>
    <w:p w:rsidR="009B327D" w:rsidRDefault="009B327D">
      <w:pPr>
        <w:widowControl/>
        <w:autoSpaceDE/>
        <w:autoSpaceDN/>
        <w:adjustRightInd/>
        <w:spacing w:after="200" w:line="276" w:lineRule="auto"/>
        <w:rPr>
          <w:b/>
          <w:bCs/>
          <w:smallCaps/>
          <w:sz w:val="22"/>
          <w:szCs w:val="22"/>
        </w:rPr>
      </w:pPr>
      <w:r>
        <w:rPr>
          <w:b/>
          <w:bCs/>
          <w:smallCaps/>
          <w:sz w:val="22"/>
          <w:szCs w:val="22"/>
        </w:rPr>
        <w:br w:type="page"/>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mallCaps/>
          <w:sz w:val="22"/>
          <w:szCs w:val="22"/>
        </w:rPr>
      </w:pPr>
      <w:r>
        <w:rPr>
          <w:b/>
          <w:bCs/>
          <w:smallCaps/>
          <w:sz w:val="22"/>
          <w:szCs w:val="22"/>
        </w:rPr>
        <w:t>OUTCOMES</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iCs/>
          <w:sz w:val="22"/>
          <w:szCs w:val="22"/>
        </w:rPr>
      </w:pPr>
      <w:r>
        <w:rPr>
          <w:b/>
          <w:bCs/>
          <w:i/>
          <w:iCs/>
          <w:sz w:val="22"/>
          <w:szCs w:val="22"/>
        </w:rPr>
        <w:t>Goal #1</w:t>
      </w:r>
      <w:r>
        <w:rPr>
          <w:i/>
          <w:iCs/>
          <w:sz w:val="22"/>
          <w:szCs w:val="22"/>
        </w:rPr>
        <w:tab/>
      </w:r>
      <w:r>
        <w:rPr>
          <w:i/>
          <w:iCs/>
          <w:sz w:val="22"/>
          <w:szCs w:val="22"/>
        </w:rPr>
        <w:tab/>
        <w:t>Students attain a fundamental understanding of all areas of chemistry and a sophisticated knowledge and understanding of a specialized area of modern chemistry</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GPA is a fundamental measure of learning and it is clear that the chemistry doctoral students are achieving measurable results of their knowledge and understanding of chemistry.  Table I shows the current GPA and the GPA upon entrance to the graduate program for doctoral students enrolled in the program during the 2008-2009 academic year.  This table shows an average increase in GPA of 0.33 points, which shows an increase over last year’s GPA.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2"/>
          <w:szCs w:val="22"/>
        </w:rPr>
      </w:pPr>
      <w:r>
        <w:rPr>
          <w:i/>
          <w:iCs/>
          <w:sz w:val="22"/>
          <w:szCs w:val="22"/>
        </w:rPr>
        <w:t>We have been extremely successful in achieving Goal #1.</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iCs/>
          <w:sz w:val="22"/>
          <w:szCs w:val="22"/>
        </w:rPr>
      </w:pPr>
      <w:r>
        <w:rPr>
          <w:b/>
          <w:bCs/>
          <w:i/>
          <w:iCs/>
          <w:sz w:val="22"/>
          <w:szCs w:val="22"/>
        </w:rPr>
        <w:t>Goal #2</w:t>
      </w:r>
      <w:r>
        <w:rPr>
          <w:i/>
          <w:iCs/>
          <w:sz w:val="22"/>
          <w:szCs w:val="22"/>
        </w:rPr>
        <w:tab/>
      </w:r>
      <w:r>
        <w:rPr>
          <w:i/>
          <w:iCs/>
          <w:sz w:val="22"/>
          <w:szCs w:val="22"/>
        </w:rPr>
        <w:tab/>
        <w:t>Students attain a deep understanding and execution of experimental and/or theoretical working in the area of specialization</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course, CHM 690/790, Annual Research Report provides an annual evaluation of the student’s progress through the program.  The student receives a critique by his/her major advisor and another by the entire dissertation committee.  A copy of the evaluation form is attached.  Twenty-nine students were enrolled in the Spring 2009 semester.  Fifteen students submitted the Annual Research Report.  The remaining students 14 students received an Incomplete Grade and will submit their reports during the Summer 2009 semester.    Table II shows the results of the Annual Research Report.  The evaluation grades range from “good” to “outstanding” by the respective advisors and dissertation committees.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Pr>
          <w:i/>
          <w:iCs/>
          <w:sz w:val="22"/>
          <w:szCs w:val="22"/>
        </w:rPr>
        <w:t>The results of the Annual Research Report show that our students are demonstrating measurable and consistent improvement in the key areas of their specialization and therefore, successful in achieving Goal #2.</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iCs/>
          <w:sz w:val="22"/>
          <w:szCs w:val="22"/>
        </w:rPr>
      </w:pPr>
      <w:r>
        <w:rPr>
          <w:b/>
          <w:bCs/>
          <w:i/>
          <w:iCs/>
          <w:sz w:val="22"/>
          <w:szCs w:val="22"/>
        </w:rPr>
        <w:t>Goal #3</w:t>
      </w:r>
      <w:r>
        <w:rPr>
          <w:i/>
          <w:iCs/>
          <w:sz w:val="22"/>
          <w:szCs w:val="22"/>
        </w:rPr>
        <w:tab/>
      </w:r>
      <w:r>
        <w:rPr>
          <w:i/>
          <w:iCs/>
          <w:sz w:val="22"/>
          <w:szCs w:val="22"/>
        </w:rPr>
        <w:tab/>
        <w:t>Students attain a professional-level ability to communicate in chemistry and especially in the area of specialization.</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Students are also encouraged to participate in local, regional and national professional meetings by presenting papers or poster sessions.  For students, participation outside the </w:t>
      </w:r>
      <w:smartTag w:uri="urn:schemas-microsoft-com:office:smarttags" w:element="place">
        <w:smartTag w:uri="urn:schemas-microsoft-com:office:smarttags" w:element="City">
          <w:r>
            <w:rPr>
              <w:sz w:val="22"/>
              <w:szCs w:val="22"/>
            </w:rPr>
            <w:t>Cleveland</w:t>
          </w:r>
        </w:smartTag>
      </w:smartTag>
      <w:r>
        <w:rPr>
          <w:sz w:val="22"/>
          <w:szCs w:val="22"/>
        </w:rPr>
        <w:t xml:space="preserve"> area is very difficult without financial support.   Chemistry students have been increasingly garnering travel awards from the </w:t>
      </w:r>
      <w:smartTag w:uri="urn:schemas-microsoft-com:office:smarttags" w:element="place">
        <w:smartTag w:uri="urn:schemas-microsoft-com:office:smarttags" w:element="PlaceType">
          <w:r>
            <w:rPr>
              <w:sz w:val="22"/>
              <w:szCs w:val="22"/>
            </w:rPr>
            <w:t>College</w:t>
          </w:r>
        </w:smartTag>
        <w:r>
          <w:rPr>
            <w:sz w:val="22"/>
            <w:szCs w:val="22"/>
          </w:rPr>
          <w:t xml:space="preserve"> of </w:t>
        </w:r>
        <w:smartTag w:uri="urn:schemas-microsoft-com:office:smarttags" w:element="PlaceName">
          <w:r>
            <w:rPr>
              <w:sz w:val="22"/>
              <w:szCs w:val="22"/>
            </w:rPr>
            <w:t>Science</w:t>
          </w:r>
        </w:smartTag>
      </w:smartTag>
      <w:r>
        <w:rPr>
          <w:sz w:val="22"/>
          <w:szCs w:val="22"/>
        </w:rPr>
        <w:t xml:space="preserve"> with matching or supplemental funding from the Department of Chemistry.  Faculty grant funding, College and Department support enable students to attend and present their work in the form of posters and presentations at various other professional conferences outside of the </w:t>
      </w:r>
      <w:smartTag w:uri="urn:schemas-microsoft-com:office:smarttags" w:element="place">
        <w:smartTag w:uri="urn:schemas-microsoft-com:office:smarttags" w:element="City">
          <w:r>
            <w:rPr>
              <w:sz w:val="22"/>
              <w:szCs w:val="22"/>
            </w:rPr>
            <w:t>Cleveland</w:t>
          </w:r>
        </w:smartTag>
      </w:smartTag>
      <w:r>
        <w:rPr>
          <w:sz w:val="22"/>
          <w:szCs w:val="22"/>
        </w:rPr>
        <w:t xml:space="preserve"> area, with several winning awards.  Table III shows the professional activities of our doctoral students, their awards, and the conferences they attended.  It is noteworthy that several of the students participated in international conferences.</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sz w:val="22"/>
          <w:szCs w:val="22"/>
        </w:rPr>
      </w:pPr>
      <w:r>
        <w:rPr>
          <w:b/>
          <w:bCs/>
          <w:sz w:val="22"/>
          <w:szCs w:val="22"/>
        </w:rPr>
        <w:t>CONCLUSION</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Department of Chemistry finds we have exceptional outcomes in all three targeted goals.  These successful outcomes coupled with degree completion and employment rates show that our students exhibit consistent improvement.  </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br w:type="page"/>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Pr>
          <w:b/>
          <w:bCs/>
          <w:smallCaps/>
          <w:sz w:val="22"/>
          <w:szCs w:val="22"/>
        </w:rPr>
        <w:t>Table I.  GPA Analysis of Chemistry Doctoral Students</w:t>
      </w:r>
    </w:p>
    <w:tbl>
      <w:tblPr>
        <w:tblW w:w="5660" w:type="dxa"/>
        <w:jc w:val="center"/>
        <w:tblLook w:val="0000"/>
      </w:tblPr>
      <w:tblGrid>
        <w:gridCol w:w="2640"/>
        <w:gridCol w:w="1480"/>
        <w:gridCol w:w="1540"/>
      </w:tblGrid>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center"/>
              <w:rPr>
                <w:b/>
                <w:bCs/>
                <w:sz w:val="18"/>
                <w:szCs w:val="18"/>
              </w:rPr>
            </w:pPr>
            <w:bookmarkStart w:id="0" w:name="RANGE_A1_C62"/>
            <w:r w:rsidRPr="002341C3">
              <w:rPr>
                <w:b/>
                <w:bCs/>
                <w:sz w:val="18"/>
                <w:szCs w:val="18"/>
              </w:rPr>
              <w:t>Student</w:t>
            </w:r>
            <w:bookmarkEnd w:id="0"/>
          </w:p>
        </w:tc>
        <w:tc>
          <w:tcPr>
            <w:tcW w:w="1480" w:type="dxa"/>
            <w:tcBorders>
              <w:top w:val="nil"/>
              <w:left w:val="nil"/>
              <w:bottom w:val="nil"/>
              <w:right w:val="nil"/>
            </w:tcBorders>
            <w:noWrap/>
            <w:vAlign w:val="bottom"/>
          </w:tcPr>
          <w:p w:rsidR="009B327D" w:rsidRPr="002341C3" w:rsidRDefault="009B327D">
            <w:pPr>
              <w:widowControl/>
              <w:autoSpaceDE/>
              <w:autoSpaceDN/>
              <w:adjustRightInd/>
              <w:jc w:val="center"/>
              <w:rPr>
                <w:b/>
                <w:bCs/>
                <w:color w:val="000000"/>
                <w:sz w:val="18"/>
                <w:szCs w:val="18"/>
              </w:rPr>
            </w:pPr>
            <w:r w:rsidRPr="002341C3">
              <w:rPr>
                <w:b/>
                <w:bCs/>
                <w:color w:val="000000"/>
                <w:sz w:val="18"/>
                <w:szCs w:val="18"/>
              </w:rPr>
              <w:t>Entering GPA</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center"/>
              <w:rPr>
                <w:b/>
                <w:bCs/>
                <w:color w:val="000000"/>
                <w:sz w:val="18"/>
                <w:szCs w:val="18"/>
              </w:rPr>
            </w:pPr>
            <w:r w:rsidRPr="002341C3">
              <w:rPr>
                <w:b/>
                <w:bCs/>
                <w:color w:val="000000"/>
                <w:sz w:val="18"/>
                <w:szCs w:val="18"/>
              </w:rPr>
              <w:t>Current GPA</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Abbadi, Amineh</w:t>
            </w:r>
          </w:p>
        </w:tc>
        <w:tc>
          <w:tcPr>
            <w:tcW w:w="1480" w:type="dxa"/>
            <w:tcBorders>
              <w:top w:val="nil"/>
              <w:left w:val="nil"/>
              <w:bottom w:val="nil"/>
              <w:right w:val="nil"/>
            </w:tcBorders>
            <w:shd w:val="clear" w:color="000000" w:fill="FFFFFF"/>
            <w:noWrap/>
            <w:vAlign w:val="bottom"/>
          </w:tcPr>
          <w:p w:rsidR="009B327D" w:rsidRPr="002341C3" w:rsidRDefault="009B327D">
            <w:pPr>
              <w:widowControl/>
              <w:autoSpaceDE/>
              <w:autoSpaceDN/>
              <w:adjustRightInd/>
              <w:jc w:val="right"/>
              <w:rPr>
                <w:color w:val="000000"/>
                <w:sz w:val="18"/>
                <w:szCs w:val="18"/>
              </w:rPr>
            </w:pPr>
            <w:r w:rsidRPr="002341C3">
              <w:rPr>
                <w:color w:val="000000"/>
                <w:sz w:val="18"/>
                <w:szCs w:val="18"/>
              </w:rPr>
              <w:t>3.74</w:t>
            </w:r>
          </w:p>
        </w:tc>
        <w:tc>
          <w:tcPr>
            <w:tcW w:w="1540" w:type="dxa"/>
            <w:tcBorders>
              <w:top w:val="nil"/>
              <w:left w:val="nil"/>
              <w:bottom w:val="nil"/>
              <w:right w:val="nil"/>
            </w:tcBorders>
            <w:shd w:val="clear" w:color="000000" w:fill="FFFFFF"/>
            <w:noWrap/>
            <w:vAlign w:val="bottom"/>
          </w:tcPr>
          <w:p w:rsidR="009B327D" w:rsidRPr="002341C3" w:rsidRDefault="009B327D">
            <w:pPr>
              <w:widowControl/>
              <w:autoSpaceDE/>
              <w:autoSpaceDN/>
              <w:adjustRightInd/>
              <w:jc w:val="right"/>
              <w:rPr>
                <w:color w:val="000000"/>
                <w:sz w:val="18"/>
                <w:szCs w:val="18"/>
              </w:rPr>
            </w:pPr>
            <w:r w:rsidRPr="002341C3">
              <w:rPr>
                <w:color w:val="000000"/>
                <w:sz w:val="18"/>
                <w:szCs w:val="18"/>
              </w:rPr>
              <w:t>4.00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Abdallah, Oruba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3.31</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Abou-diwan, Charbel**</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3.33</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3.84</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Atkinson, Ian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4.00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Bani Hani, Saleem</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3.96</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Basakeng, Moses*</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3.40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3.26</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Binder, Katherine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3.93</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3.84</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Bulgar, Alina**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3.84</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3.97</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Cai, Xiaohan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3.10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Cannon, Robert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3.29</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2.90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Chalagalla, Srinivas</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3.96</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Collins, Ricardo*</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Dogaru, Daniela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El-Khoury, Joe</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4.00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Estep, Jacqueline*</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3.88</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3.91</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Fang, Fang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3.91</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3.92</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Gunasekera, Mutha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3.04</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3.86</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Hirbawi, Jamila**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3.72</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3.71</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Hribar, James**</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3.53</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Lama, Rati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3.21</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Lanigan, Christopher*</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3.87</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Li, Lan**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3.15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4.00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Li, Ling</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Liu, Jianmin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3.93</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3.92</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Liu, Yiding*</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Maheswaram, Manik Pavan**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3.45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McCulloch, Melissa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3.82</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3.63</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Meng, Wei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3.78</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Mohammad, Hanan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3.89</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Moran, John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3.91</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Motiu, Stefan*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3.59</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Na, Maheeshma*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3.63</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Narla, Satya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3.77</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Neric, Nikolas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3.64</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Ni, Jiaqian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4.00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Nguyen, Quynhgiao*</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3.48</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3.24</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Pallas, Nick</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Pedada, Kiran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Peiris, Pubudu W</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2.75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3.88</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Perera, Dhanuja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3.93</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Perera, Naullage 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2.72</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3.73</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Perera, Reshani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3.87</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Pham, Phong Xuan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3.70</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Smith, Kerri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3.11</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3.61</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Tan, Haiyan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3.40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3.99</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Vabbilisetty, Pratima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3.85</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Wabuyele, Simuli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3.83</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Walaliwalagedara, Chamari</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3.00</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3.82</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Jennifer Williams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3.74</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3.85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Yi, Xin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3.75</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Yun, Booseok*</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3.09</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3.22</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Zeng, Chun</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3.16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3.57</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Zhang, Hailong</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3.36</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3.68</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r w:rsidRPr="002341C3">
              <w:rPr>
                <w:sz w:val="18"/>
                <w:szCs w:val="18"/>
              </w:rPr>
              <w:t>Zhou, Gang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3.57</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3.74</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b/>
                <w:bCs/>
                <w:sz w:val="18"/>
                <w:szCs w:val="18"/>
              </w:rPr>
            </w:pPr>
            <w:r w:rsidRPr="002341C3">
              <w:rPr>
                <w:b/>
                <w:bCs/>
                <w:sz w:val="18"/>
                <w:szCs w:val="18"/>
              </w:rPr>
              <w:t>Average GPA</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b/>
                <w:bCs/>
                <w:sz w:val="18"/>
                <w:szCs w:val="18"/>
              </w:rPr>
            </w:pPr>
            <w:r w:rsidRPr="002341C3">
              <w:rPr>
                <w:b/>
                <w:bCs/>
                <w:sz w:val="18"/>
                <w:szCs w:val="18"/>
              </w:rPr>
              <w:t>3.39</w:t>
            </w:r>
          </w:p>
        </w:tc>
        <w:tc>
          <w:tcPr>
            <w:tcW w:w="1540" w:type="dxa"/>
            <w:tcBorders>
              <w:top w:val="nil"/>
              <w:left w:val="nil"/>
              <w:bottom w:val="nil"/>
              <w:right w:val="nil"/>
            </w:tcBorders>
            <w:noWrap/>
            <w:vAlign w:val="bottom"/>
          </w:tcPr>
          <w:p w:rsidR="009B327D" w:rsidRPr="002341C3" w:rsidRDefault="009B327D">
            <w:pPr>
              <w:widowControl/>
              <w:autoSpaceDE/>
              <w:autoSpaceDN/>
              <w:adjustRightInd/>
              <w:jc w:val="right"/>
              <w:rPr>
                <w:b/>
                <w:bCs/>
                <w:sz w:val="18"/>
                <w:szCs w:val="18"/>
              </w:rPr>
            </w:pPr>
            <w:r w:rsidRPr="002341C3">
              <w:rPr>
                <w:b/>
                <w:bCs/>
                <w:sz w:val="18"/>
                <w:szCs w:val="18"/>
              </w:rPr>
              <w:t>3.72</w:t>
            </w: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i/>
                <w:iCs/>
                <w:sz w:val="18"/>
                <w:szCs w:val="18"/>
              </w:rPr>
            </w:pPr>
            <w:r w:rsidRPr="002341C3">
              <w:rPr>
                <w:i/>
                <w:iCs/>
                <w:sz w:val="18"/>
                <w:szCs w:val="18"/>
              </w:rPr>
              <w:t>Teaching Assistants</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25</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b/>
                <w:bCs/>
                <w:sz w:val="18"/>
                <w:szCs w:val="18"/>
              </w:rPr>
            </w:pP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i/>
                <w:iCs/>
                <w:sz w:val="18"/>
                <w:szCs w:val="18"/>
              </w:rPr>
            </w:pPr>
            <w:r w:rsidRPr="002341C3">
              <w:rPr>
                <w:i/>
                <w:iCs/>
                <w:sz w:val="18"/>
                <w:szCs w:val="18"/>
              </w:rPr>
              <w:t>Research Assistants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5</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b/>
                <w:bCs/>
                <w:sz w:val="18"/>
                <w:szCs w:val="18"/>
              </w:rPr>
            </w:pP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i/>
                <w:iCs/>
                <w:sz w:val="18"/>
                <w:szCs w:val="18"/>
              </w:rPr>
            </w:pPr>
            <w:r w:rsidRPr="002341C3">
              <w:rPr>
                <w:i/>
                <w:iCs/>
                <w:sz w:val="18"/>
                <w:szCs w:val="18"/>
              </w:rPr>
              <w:t>Self-supported and part-time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13</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b/>
                <w:bCs/>
                <w:sz w:val="18"/>
                <w:szCs w:val="18"/>
              </w:rPr>
            </w:pP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i/>
                <w:iCs/>
                <w:sz w:val="18"/>
                <w:szCs w:val="18"/>
              </w:rPr>
            </w:pPr>
            <w:smartTag w:uri="urn:schemas-microsoft-com:office:smarttags" w:element="place">
              <w:smartTag w:uri="urn:schemas-microsoft-com:office:smarttags" w:element="City">
                <w:r w:rsidRPr="002341C3">
                  <w:rPr>
                    <w:i/>
                    <w:iCs/>
                    <w:sz w:val="18"/>
                    <w:szCs w:val="18"/>
                  </w:rPr>
                  <w:t>Cleveland</w:t>
                </w:r>
              </w:smartTag>
            </w:smartTag>
            <w:r w:rsidRPr="002341C3">
              <w:rPr>
                <w:i/>
                <w:iCs/>
                <w:sz w:val="18"/>
                <w:szCs w:val="18"/>
              </w:rPr>
              <w:t xml:space="preserve"> Clinic Fellow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9</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b/>
                <w:bCs/>
                <w:sz w:val="18"/>
                <w:szCs w:val="18"/>
              </w:rPr>
            </w:pP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i/>
                <w:iCs/>
                <w:sz w:val="18"/>
                <w:szCs w:val="18"/>
              </w:rPr>
            </w:pPr>
            <w:r w:rsidRPr="002341C3">
              <w:rPr>
                <w:i/>
                <w:iCs/>
                <w:sz w:val="18"/>
                <w:szCs w:val="18"/>
              </w:rPr>
              <w:t>GAANN Fellow +</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sz w:val="18"/>
                <w:szCs w:val="18"/>
              </w:rPr>
            </w:pPr>
            <w:r w:rsidRPr="002341C3">
              <w:rPr>
                <w:sz w:val="18"/>
                <w:szCs w:val="18"/>
              </w:rPr>
              <w:t>2</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b/>
                <w:bCs/>
                <w:sz w:val="18"/>
                <w:szCs w:val="18"/>
              </w:rPr>
            </w:pPr>
          </w:p>
        </w:tc>
      </w:tr>
      <w:tr w:rsidR="009B327D" w:rsidRPr="002341C3">
        <w:trPr>
          <w:trHeight w:val="222"/>
          <w:jc w:val="center"/>
        </w:trPr>
        <w:tc>
          <w:tcPr>
            <w:tcW w:w="2640" w:type="dxa"/>
            <w:tcBorders>
              <w:top w:val="nil"/>
              <w:left w:val="nil"/>
              <w:bottom w:val="nil"/>
              <w:right w:val="nil"/>
            </w:tcBorders>
            <w:noWrap/>
            <w:vAlign w:val="bottom"/>
          </w:tcPr>
          <w:p w:rsidR="009B327D" w:rsidRPr="002341C3" w:rsidRDefault="009B327D">
            <w:pPr>
              <w:widowControl/>
              <w:autoSpaceDE/>
              <w:autoSpaceDN/>
              <w:adjustRightInd/>
              <w:jc w:val="right"/>
              <w:rPr>
                <w:b/>
                <w:bCs/>
                <w:sz w:val="18"/>
                <w:szCs w:val="18"/>
              </w:rPr>
            </w:pPr>
            <w:r w:rsidRPr="002341C3">
              <w:rPr>
                <w:b/>
                <w:bCs/>
                <w:sz w:val="18"/>
                <w:szCs w:val="18"/>
              </w:rPr>
              <w:t>Total Students</w:t>
            </w:r>
          </w:p>
        </w:tc>
        <w:tc>
          <w:tcPr>
            <w:tcW w:w="1480" w:type="dxa"/>
            <w:tcBorders>
              <w:top w:val="nil"/>
              <w:left w:val="nil"/>
              <w:bottom w:val="nil"/>
              <w:right w:val="nil"/>
            </w:tcBorders>
            <w:noWrap/>
            <w:vAlign w:val="bottom"/>
          </w:tcPr>
          <w:p w:rsidR="009B327D" w:rsidRPr="002341C3" w:rsidRDefault="009B327D">
            <w:pPr>
              <w:widowControl/>
              <w:autoSpaceDE/>
              <w:autoSpaceDN/>
              <w:adjustRightInd/>
              <w:jc w:val="right"/>
              <w:rPr>
                <w:b/>
                <w:bCs/>
                <w:sz w:val="18"/>
                <w:szCs w:val="18"/>
              </w:rPr>
            </w:pPr>
            <w:r w:rsidRPr="002341C3">
              <w:rPr>
                <w:b/>
                <w:bCs/>
                <w:sz w:val="18"/>
                <w:szCs w:val="18"/>
              </w:rPr>
              <w:t>53</w:t>
            </w:r>
          </w:p>
        </w:tc>
        <w:tc>
          <w:tcPr>
            <w:tcW w:w="1540" w:type="dxa"/>
            <w:tcBorders>
              <w:top w:val="nil"/>
              <w:left w:val="nil"/>
              <w:bottom w:val="nil"/>
              <w:right w:val="nil"/>
            </w:tcBorders>
            <w:noWrap/>
            <w:vAlign w:val="bottom"/>
          </w:tcPr>
          <w:p w:rsidR="009B327D" w:rsidRPr="002341C3" w:rsidRDefault="009B327D">
            <w:pPr>
              <w:widowControl/>
              <w:autoSpaceDE/>
              <w:autoSpaceDN/>
              <w:adjustRightInd/>
              <w:rPr>
                <w:sz w:val="18"/>
                <w:szCs w:val="18"/>
              </w:rPr>
            </w:pPr>
          </w:p>
        </w:tc>
      </w:tr>
    </w:tbl>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p>
    <w:p w:rsidR="009B327D" w:rsidRDefault="009B327D">
      <w:pPr>
        <w:pStyle w:val="BodyText"/>
      </w:pPr>
      <w:r>
        <w:t>Table II.  Results of Annual Research Report</w:t>
      </w:r>
      <w:r>
        <w:br/>
        <w:t>(CHM 690/790) Spring 2009</w:t>
      </w:r>
    </w:p>
    <w:tbl>
      <w:tblPr>
        <w:tblW w:w="44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40"/>
        <w:gridCol w:w="460"/>
        <w:gridCol w:w="346"/>
        <w:gridCol w:w="326"/>
        <w:gridCol w:w="530"/>
        <w:gridCol w:w="346"/>
        <w:gridCol w:w="317"/>
        <w:gridCol w:w="346"/>
        <w:gridCol w:w="624"/>
      </w:tblGrid>
      <w:tr w:rsidR="009B327D" w:rsidRPr="002341C3">
        <w:trPr>
          <w:trHeight w:val="259"/>
          <w:jc w:val="center"/>
        </w:trPr>
        <w:tc>
          <w:tcPr>
            <w:tcW w:w="1540" w:type="dxa"/>
            <w:tcBorders>
              <w:top w:val="single" w:sz="4" w:space="0" w:color="auto"/>
            </w:tcBorders>
            <w:noWrap/>
            <w:vAlign w:val="bottom"/>
          </w:tcPr>
          <w:p w:rsidR="009B327D" w:rsidRPr="002341C3" w:rsidRDefault="009B327D">
            <w:pPr>
              <w:widowControl/>
              <w:autoSpaceDE/>
              <w:autoSpaceDN/>
              <w:adjustRightInd/>
              <w:jc w:val="center"/>
              <w:rPr>
                <w:b/>
                <w:bCs/>
                <w:color w:val="000000"/>
                <w:sz w:val="18"/>
                <w:szCs w:val="18"/>
              </w:rPr>
            </w:pPr>
            <w:bookmarkStart w:id="1" w:name="RANGE_A1_I86"/>
            <w:r w:rsidRPr="002341C3">
              <w:rPr>
                <w:b/>
                <w:bCs/>
                <w:color w:val="000000"/>
                <w:sz w:val="18"/>
                <w:szCs w:val="18"/>
              </w:rPr>
              <w:t>Student</w:t>
            </w:r>
            <w:bookmarkEnd w:id="1"/>
          </w:p>
        </w:tc>
        <w:tc>
          <w:tcPr>
            <w:tcW w:w="460" w:type="dxa"/>
            <w:tcBorders>
              <w:top w:val="single" w:sz="4" w:space="0" w:color="auto"/>
            </w:tcBorders>
            <w:noWrap/>
            <w:vAlign w:val="bottom"/>
          </w:tcPr>
          <w:p w:rsidR="009B327D" w:rsidRPr="002341C3" w:rsidRDefault="009B327D">
            <w:pPr>
              <w:widowControl/>
              <w:autoSpaceDE/>
              <w:autoSpaceDN/>
              <w:adjustRightInd/>
              <w:rPr>
                <w:b/>
                <w:bCs/>
                <w:color w:val="000000"/>
                <w:sz w:val="18"/>
                <w:szCs w:val="18"/>
              </w:rPr>
            </w:pPr>
            <w:r w:rsidRPr="002341C3">
              <w:rPr>
                <w:b/>
                <w:bCs/>
                <w:color w:val="000000"/>
                <w:sz w:val="18"/>
                <w:szCs w:val="18"/>
              </w:rPr>
              <w:t>Q#</w:t>
            </w:r>
          </w:p>
        </w:tc>
        <w:tc>
          <w:tcPr>
            <w:tcW w:w="2481" w:type="dxa"/>
            <w:gridSpan w:val="7"/>
            <w:tcBorders>
              <w:top w:val="single" w:sz="4" w:space="0" w:color="auto"/>
            </w:tcBorders>
            <w:noWrap/>
            <w:vAlign w:val="bottom"/>
          </w:tcPr>
          <w:p w:rsidR="009B327D" w:rsidRPr="002341C3" w:rsidRDefault="009B327D">
            <w:pPr>
              <w:widowControl/>
              <w:autoSpaceDE/>
              <w:autoSpaceDN/>
              <w:adjustRightInd/>
              <w:jc w:val="center"/>
              <w:rPr>
                <w:b/>
                <w:bCs/>
                <w:color w:val="000000"/>
                <w:sz w:val="18"/>
                <w:szCs w:val="18"/>
              </w:rPr>
            </w:pPr>
            <w:r w:rsidRPr="002341C3">
              <w:rPr>
                <w:b/>
                <w:bCs/>
                <w:color w:val="000000"/>
                <w:sz w:val="18"/>
                <w:szCs w:val="18"/>
              </w:rPr>
              <w:t>Committee Evaluation</w:t>
            </w:r>
          </w:p>
        </w:tc>
      </w:tr>
      <w:tr w:rsidR="009B327D" w:rsidRPr="002341C3">
        <w:trPr>
          <w:trHeight w:val="259"/>
          <w:jc w:val="center"/>
        </w:trPr>
        <w:tc>
          <w:tcPr>
            <w:tcW w:w="154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46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O</w:t>
            </w:r>
          </w:p>
        </w:tc>
        <w:tc>
          <w:tcPr>
            <w:tcW w:w="246"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E</w:t>
            </w:r>
          </w:p>
        </w:tc>
        <w:tc>
          <w:tcPr>
            <w:tcW w:w="53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VG</w:t>
            </w:r>
          </w:p>
        </w:tc>
        <w:tc>
          <w:tcPr>
            <w:tcW w:w="284"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G</w:t>
            </w:r>
          </w:p>
        </w:tc>
        <w:tc>
          <w:tcPr>
            <w:tcW w:w="229"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S</w:t>
            </w:r>
          </w:p>
        </w:tc>
        <w:tc>
          <w:tcPr>
            <w:tcW w:w="284"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U</w:t>
            </w:r>
          </w:p>
        </w:tc>
        <w:tc>
          <w:tcPr>
            <w:tcW w:w="624"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N/A</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Xiaohan Cai</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Fang Fang</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Jamila Hirbawi</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Lan Li</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Jianmin Liu</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Hanan Mohammad</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Melissa McCulloch</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Nick Pallas</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Dhanuja Perera</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Kerri Smith</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Haiyan Tan</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Simuli Wabuyele</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Chun Zeng</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restart"/>
            <w:noWrap/>
            <w:vAlign w:val="center"/>
          </w:tcPr>
          <w:p w:rsidR="009B327D" w:rsidRPr="002341C3" w:rsidRDefault="009B327D">
            <w:pPr>
              <w:widowControl/>
              <w:autoSpaceDE/>
              <w:autoSpaceDN/>
              <w:adjustRightInd/>
              <w:rPr>
                <w:color w:val="000000"/>
                <w:sz w:val="18"/>
                <w:szCs w:val="18"/>
              </w:rPr>
            </w:pPr>
            <w:r w:rsidRPr="002341C3">
              <w:rPr>
                <w:color w:val="000000"/>
                <w:sz w:val="18"/>
                <w:szCs w:val="18"/>
              </w:rPr>
              <w:t>Hailong Zhang</w:t>
            </w: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1</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2</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3</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4</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vAlign w:val="center"/>
          </w:tcPr>
          <w:p w:rsidR="009B327D" w:rsidRPr="002341C3" w:rsidRDefault="009B327D">
            <w:pPr>
              <w:widowControl/>
              <w:autoSpaceDE/>
              <w:autoSpaceDN/>
              <w:adjustRightInd/>
              <w:rPr>
                <w:color w:val="000000"/>
                <w:sz w:val="18"/>
                <w:szCs w:val="18"/>
              </w:rPr>
            </w:pPr>
          </w:p>
        </w:tc>
        <w:tc>
          <w:tcPr>
            <w:tcW w:w="460" w:type="dxa"/>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5</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x</w:t>
            </w:r>
          </w:p>
        </w:tc>
        <w:tc>
          <w:tcPr>
            <w:tcW w:w="246"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r w:rsidR="009B327D" w:rsidRPr="002341C3">
        <w:trPr>
          <w:cantSplit/>
          <w:trHeight w:val="259"/>
          <w:jc w:val="center"/>
        </w:trPr>
        <w:tc>
          <w:tcPr>
            <w:tcW w:w="1540" w:type="dxa"/>
            <w:vMerge/>
            <w:tcBorders>
              <w:bottom w:val="single" w:sz="4" w:space="0" w:color="auto"/>
            </w:tcBorders>
            <w:vAlign w:val="center"/>
          </w:tcPr>
          <w:p w:rsidR="009B327D" w:rsidRPr="002341C3" w:rsidRDefault="009B327D">
            <w:pPr>
              <w:widowControl/>
              <w:autoSpaceDE/>
              <w:autoSpaceDN/>
              <w:adjustRightInd/>
              <w:rPr>
                <w:color w:val="000000"/>
                <w:sz w:val="18"/>
                <w:szCs w:val="18"/>
              </w:rPr>
            </w:pPr>
          </w:p>
        </w:tc>
        <w:tc>
          <w:tcPr>
            <w:tcW w:w="460" w:type="dxa"/>
            <w:tcBorders>
              <w:bottom w:val="single" w:sz="4" w:space="0" w:color="auto"/>
            </w:tcBorders>
            <w:noWrap/>
            <w:vAlign w:val="bottom"/>
          </w:tcPr>
          <w:p w:rsidR="009B327D" w:rsidRPr="002341C3" w:rsidRDefault="009B327D">
            <w:pPr>
              <w:widowControl/>
              <w:autoSpaceDE/>
              <w:autoSpaceDN/>
              <w:adjustRightInd/>
              <w:jc w:val="center"/>
              <w:rPr>
                <w:color w:val="000000"/>
                <w:sz w:val="18"/>
                <w:szCs w:val="18"/>
              </w:rPr>
            </w:pPr>
            <w:r w:rsidRPr="002341C3">
              <w:rPr>
                <w:color w:val="000000"/>
                <w:sz w:val="18"/>
                <w:szCs w:val="18"/>
              </w:rPr>
              <w:t> </w:t>
            </w:r>
          </w:p>
        </w:tc>
        <w:tc>
          <w:tcPr>
            <w:tcW w:w="284"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46"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530"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29"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284"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c>
          <w:tcPr>
            <w:tcW w:w="624" w:type="dxa"/>
            <w:tcBorders>
              <w:bottom w:val="single" w:sz="4" w:space="0" w:color="auto"/>
            </w:tcBorders>
            <w:noWrap/>
            <w:vAlign w:val="bottom"/>
          </w:tcPr>
          <w:p w:rsidR="009B327D" w:rsidRPr="002341C3" w:rsidRDefault="009B327D">
            <w:pPr>
              <w:widowControl/>
              <w:autoSpaceDE/>
              <w:autoSpaceDN/>
              <w:adjustRightInd/>
              <w:rPr>
                <w:color w:val="000000"/>
                <w:sz w:val="18"/>
                <w:szCs w:val="18"/>
              </w:rPr>
            </w:pPr>
            <w:r w:rsidRPr="002341C3">
              <w:rPr>
                <w:color w:val="000000"/>
                <w:sz w:val="18"/>
                <w:szCs w:val="18"/>
              </w:rPr>
              <w:t> </w:t>
            </w:r>
          </w:p>
        </w:tc>
      </w:tr>
    </w:tbl>
    <w:p w:rsidR="009B327D" w:rsidRDefault="009B327D">
      <w:pPr>
        <w:widowControl/>
        <w:autoSpaceDE/>
        <w:autoSpaceDN/>
        <w:adjustRightInd/>
        <w:spacing w:after="200" w:line="276" w:lineRule="auto"/>
        <w:jc w:val="center"/>
        <w:rPr>
          <w:b/>
          <w:bCs/>
          <w:smallCaps/>
          <w:sz w:val="22"/>
          <w:szCs w:val="22"/>
        </w:rPr>
      </w:pPr>
      <w:r>
        <w:rPr>
          <w:b/>
          <w:bCs/>
          <w:smallCaps/>
          <w:sz w:val="22"/>
          <w:szCs w:val="22"/>
        </w:rPr>
        <w:t xml:space="preserve"> </w:t>
      </w:r>
    </w:p>
    <w:p w:rsidR="009B327D" w:rsidRDefault="009B327D">
      <w:pPr>
        <w:widowControl/>
        <w:autoSpaceDE/>
        <w:autoSpaceDN/>
        <w:adjustRightInd/>
        <w:spacing w:after="200" w:line="276" w:lineRule="auto"/>
        <w:jc w:val="center"/>
        <w:rPr>
          <w:rStyle w:val="Heading3Char"/>
          <w:sz w:val="24"/>
          <w:szCs w:val="24"/>
        </w:rPr>
      </w:pPr>
      <w:r>
        <w:rPr>
          <w:b/>
          <w:bCs/>
          <w:smallCaps/>
          <w:sz w:val="22"/>
          <w:szCs w:val="22"/>
        </w:rPr>
        <w:br w:type="page"/>
      </w:r>
      <w:r w:rsidRPr="00F5573E">
        <w:rPr>
          <w:rFonts w:ascii="Arial" w:hAnsi="Arial"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7.25pt;height:40.5pt;visibility:visible">
            <v:imagedata r:id="rId6" o:title=""/>
          </v:shape>
        </w:pict>
      </w:r>
    </w:p>
    <w:p w:rsidR="009B327D" w:rsidRDefault="009B327D">
      <w:pPr>
        <w:rPr>
          <w:rStyle w:val="Heading3Char"/>
          <w:sz w:val="24"/>
          <w:szCs w:val="24"/>
        </w:rPr>
      </w:pPr>
    </w:p>
    <w:p w:rsidR="009B327D" w:rsidRDefault="009B327D">
      <w:pPr>
        <w:rPr>
          <w:rStyle w:val="Heading3Char"/>
          <w:sz w:val="24"/>
          <w:szCs w:val="24"/>
        </w:rPr>
      </w:pPr>
      <w:r>
        <w:rPr>
          <w:rStyle w:val="Heading3Char"/>
          <w:sz w:val="24"/>
          <w:szCs w:val="24"/>
        </w:rPr>
        <w:t>Annual Research Report</w:t>
      </w:r>
      <w:r>
        <w:rPr>
          <w:rFonts w:ascii="Arial" w:hAnsi="Arial" w:cs="Arial"/>
        </w:rPr>
        <w:tab/>
      </w:r>
      <w:r>
        <w:rPr>
          <w:rFonts w:ascii="Arial" w:hAnsi="Arial" w:cs="Arial"/>
        </w:rPr>
        <w:tab/>
      </w:r>
      <w:r>
        <w:rPr>
          <w:rFonts w:ascii="Arial" w:hAnsi="Arial" w:cs="Arial"/>
        </w:rPr>
        <w:tab/>
      </w:r>
      <w:r>
        <w:rPr>
          <w:rFonts w:ascii="Arial" w:hAnsi="Arial" w:cs="Arial"/>
        </w:rPr>
        <w:tab/>
      </w:r>
      <w:r>
        <w:rPr>
          <w:rStyle w:val="Heading3Char"/>
          <w:sz w:val="24"/>
          <w:szCs w:val="24"/>
        </w:rPr>
        <w:t>Department of Chemistry</w:t>
      </w:r>
    </w:p>
    <w:p w:rsidR="009B327D" w:rsidRDefault="009B327D">
      <w:pPr>
        <w:rPr>
          <w:b/>
          <w:bCs/>
        </w:rPr>
      </w:pPr>
    </w:p>
    <w:p w:rsidR="009B327D" w:rsidRDefault="009B327D">
      <w:pPr>
        <w:rPr>
          <w:u w:val="single"/>
        </w:rPr>
      </w:pPr>
      <w:r>
        <w:t xml:space="preserve">Date </w:t>
      </w:r>
      <w:r>
        <w:rPr>
          <w:u w:val="single"/>
        </w:rPr>
        <w:tab/>
      </w:r>
      <w:r>
        <w:rPr>
          <w:u w:val="single"/>
        </w:rPr>
        <w:tab/>
      </w:r>
      <w:r>
        <w:rPr>
          <w:u w:val="single"/>
        </w:rPr>
        <w:tab/>
      </w:r>
      <w:r>
        <w:rPr>
          <w:u w:val="single"/>
        </w:rPr>
        <w:tab/>
      </w:r>
      <w:r>
        <w:rPr>
          <w:u w:val="single"/>
        </w:rPr>
        <w:tab/>
      </w:r>
      <w:r>
        <w:rPr>
          <w:u w:val="single"/>
        </w:rPr>
        <w:tab/>
      </w:r>
      <w:r>
        <w:tab/>
        <w:t xml:space="preserve">Year in Program </w:t>
      </w:r>
      <w:r>
        <w:rPr>
          <w:u w:val="single"/>
        </w:rPr>
        <w:tab/>
      </w:r>
      <w:r>
        <w:rPr>
          <w:u w:val="single"/>
        </w:rPr>
        <w:tab/>
      </w:r>
      <w:r>
        <w:rPr>
          <w:u w:val="single"/>
        </w:rPr>
        <w:tab/>
      </w:r>
      <w:r>
        <w:rPr>
          <w:u w:val="single"/>
        </w:rPr>
        <w:tab/>
      </w:r>
      <w:r>
        <w:rPr>
          <w:u w:val="single"/>
        </w:rPr>
        <w:tab/>
      </w:r>
    </w:p>
    <w:p w:rsidR="009B327D" w:rsidRDefault="009B327D"/>
    <w:p w:rsidR="009B327D" w:rsidRDefault="009B327D">
      <w:pPr>
        <w:rPr>
          <w:u w:val="single"/>
        </w:rPr>
      </w:pPr>
      <w:r>
        <w:t xml:space="preserve">Student’s Name (print) </w:t>
      </w:r>
      <w:r>
        <w:rPr>
          <w:u w:val="single"/>
        </w:rPr>
        <w:tab/>
      </w:r>
      <w:r>
        <w:rPr>
          <w:u w:val="single"/>
        </w:rPr>
        <w:tab/>
      </w:r>
      <w:r>
        <w:rPr>
          <w:u w:val="single"/>
        </w:rPr>
        <w:tab/>
      </w:r>
      <w:r>
        <w:rPr>
          <w:u w:val="single"/>
        </w:rPr>
        <w:tab/>
      </w:r>
      <w:r>
        <w:tab/>
        <w:t xml:space="preserve">Signature  </w:t>
      </w:r>
      <w:r>
        <w:rPr>
          <w:u w:val="single"/>
        </w:rPr>
        <w:tab/>
      </w:r>
      <w:r>
        <w:rPr>
          <w:u w:val="single"/>
        </w:rPr>
        <w:tab/>
      </w:r>
      <w:r>
        <w:rPr>
          <w:u w:val="single"/>
        </w:rPr>
        <w:tab/>
      </w:r>
      <w:r>
        <w:rPr>
          <w:u w:val="single"/>
        </w:rPr>
        <w:tab/>
      </w:r>
      <w:r>
        <w:rPr>
          <w:u w:val="single"/>
        </w:rPr>
        <w:tab/>
      </w:r>
    </w:p>
    <w:p w:rsidR="009B327D" w:rsidRDefault="009B327D">
      <w:pPr>
        <w:rPr>
          <w:u w:val="single"/>
        </w:rPr>
      </w:pPr>
    </w:p>
    <w:p w:rsidR="009B327D" w:rsidRDefault="009B327D">
      <w:pPr>
        <w:rPr>
          <w:u w:val="single"/>
        </w:rPr>
      </w:pPr>
      <w:r>
        <w:t xml:space="preserve">Advisor’s Name </w:t>
      </w:r>
      <w:r>
        <w:rPr>
          <w:u w:val="single"/>
        </w:rPr>
        <w:tab/>
      </w:r>
      <w:r>
        <w:rPr>
          <w:u w:val="single"/>
        </w:rPr>
        <w:tab/>
      </w:r>
      <w:r>
        <w:rPr>
          <w:u w:val="single"/>
        </w:rPr>
        <w:tab/>
        <w:t xml:space="preserve"> </w:t>
      </w:r>
      <w:r>
        <w:rPr>
          <w:u w:val="single"/>
        </w:rPr>
        <w:tab/>
      </w:r>
      <w:r>
        <w:rPr>
          <w:u w:val="single"/>
        </w:rPr>
        <w:tab/>
        <w:t xml:space="preserve"> </w:t>
      </w:r>
      <w:r>
        <w:tab/>
        <w:t xml:space="preserve">Signature  </w:t>
      </w:r>
      <w:r>
        <w:rPr>
          <w:u w:val="single"/>
        </w:rPr>
        <w:tab/>
      </w:r>
      <w:r>
        <w:rPr>
          <w:u w:val="single"/>
        </w:rPr>
        <w:tab/>
      </w:r>
      <w:r>
        <w:rPr>
          <w:u w:val="single"/>
        </w:rPr>
        <w:tab/>
      </w:r>
      <w:r>
        <w:rPr>
          <w:u w:val="single"/>
        </w:rPr>
        <w:tab/>
      </w:r>
      <w:r>
        <w:rPr>
          <w:u w:val="single"/>
        </w:rPr>
        <w:tab/>
      </w:r>
    </w:p>
    <w:p w:rsidR="009B327D" w:rsidRDefault="009B327D">
      <w:pPr>
        <w:rPr>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7848"/>
      </w:tblGrid>
      <w:tr w:rsidR="009B327D" w:rsidRPr="002341C3">
        <w:tc>
          <w:tcPr>
            <w:tcW w:w="1728" w:type="dxa"/>
          </w:tcPr>
          <w:p w:rsidR="009B327D" w:rsidRPr="002341C3" w:rsidRDefault="009B327D">
            <w:pPr>
              <w:jc w:val="center"/>
              <w:rPr>
                <w:u w:val="single"/>
              </w:rPr>
            </w:pPr>
          </w:p>
          <w:p w:rsidR="009B327D" w:rsidRPr="002341C3" w:rsidRDefault="009B327D">
            <w:pPr>
              <w:jc w:val="center"/>
              <w:rPr>
                <w:u w:val="single"/>
              </w:rPr>
            </w:pPr>
          </w:p>
          <w:p w:rsidR="009B327D" w:rsidRPr="002341C3" w:rsidRDefault="009B327D">
            <w:pPr>
              <w:jc w:val="center"/>
              <w:rPr>
                <w:caps/>
                <w:outline/>
              </w:rPr>
            </w:pPr>
          </w:p>
          <w:p w:rsidR="009B327D" w:rsidRPr="002341C3" w:rsidRDefault="009B327D">
            <w:pPr>
              <w:rPr>
                <w:caps/>
              </w:rPr>
            </w:pPr>
          </w:p>
          <w:p w:rsidR="009B327D" w:rsidRPr="002341C3" w:rsidRDefault="009B327D">
            <w:pPr>
              <w:jc w:val="center"/>
              <w:rPr>
                <w:b/>
                <w:bCs/>
                <w:caps/>
              </w:rPr>
            </w:pPr>
            <w:r w:rsidRPr="002341C3">
              <w:rPr>
                <w:b/>
                <w:bCs/>
                <w:caps/>
              </w:rPr>
              <w:t>Student</w:t>
            </w:r>
          </w:p>
          <w:p w:rsidR="009B327D" w:rsidRPr="002341C3" w:rsidRDefault="009B327D">
            <w:pPr>
              <w:jc w:val="center"/>
              <w:rPr>
                <w:b/>
                <w:bCs/>
                <w:caps/>
              </w:rPr>
            </w:pPr>
            <w:r w:rsidRPr="002341C3">
              <w:rPr>
                <w:b/>
                <w:bCs/>
                <w:caps/>
              </w:rPr>
              <w:t>Annual Report</w:t>
            </w:r>
          </w:p>
          <w:p w:rsidR="009B327D" w:rsidRPr="002341C3" w:rsidRDefault="009B327D">
            <w:pPr>
              <w:jc w:val="center"/>
              <w:rPr>
                <w:u w:val="single"/>
              </w:rPr>
            </w:pPr>
          </w:p>
          <w:p w:rsidR="009B327D" w:rsidRPr="002341C3" w:rsidRDefault="009B327D">
            <w:pPr>
              <w:jc w:val="center"/>
              <w:rPr>
                <w:u w:val="single"/>
              </w:rPr>
            </w:pPr>
          </w:p>
          <w:p w:rsidR="009B327D" w:rsidRPr="002341C3" w:rsidRDefault="009B327D">
            <w:pPr>
              <w:rPr>
                <w:u w:val="single"/>
              </w:rPr>
            </w:pPr>
          </w:p>
        </w:tc>
        <w:tc>
          <w:tcPr>
            <w:tcW w:w="7848" w:type="dxa"/>
          </w:tcPr>
          <w:p w:rsidR="009B327D" w:rsidRPr="002341C3" w:rsidRDefault="009B327D">
            <w:pPr>
              <w:spacing w:before="120"/>
              <w:rPr>
                <w:sz w:val="16"/>
                <w:szCs w:val="16"/>
              </w:rPr>
            </w:pPr>
            <w:r w:rsidRPr="002341C3">
              <w:rPr>
                <w:sz w:val="16"/>
                <w:szCs w:val="16"/>
              </w:rPr>
              <w:t>Submit a brief description of the current Ph.D. project (ca. 2 pages).</w:t>
            </w:r>
          </w:p>
          <w:p w:rsidR="009B327D" w:rsidRPr="002341C3" w:rsidRDefault="009B327D">
            <w:pPr>
              <w:spacing w:before="120"/>
              <w:rPr>
                <w:i/>
                <w:iCs/>
                <w:sz w:val="16"/>
                <w:szCs w:val="16"/>
              </w:rPr>
            </w:pPr>
            <w:r w:rsidRPr="002341C3">
              <w:rPr>
                <w:i/>
                <w:iCs/>
                <w:sz w:val="16"/>
                <w:szCs w:val="16"/>
              </w:rPr>
              <w:t>1.  Include a list of manuscripts submitted for publication in following categories:</w:t>
            </w:r>
          </w:p>
          <w:p w:rsidR="009B327D" w:rsidRPr="002341C3" w:rsidRDefault="009B327D">
            <w:pPr>
              <w:spacing w:before="120"/>
              <w:rPr>
                <w:sz w:val="16"/>
                <w:szCs w:val="16"/>
              </w:rPr>
            </w:pPr>
            <w:r w:rsidRPr="002341C3">
              <w:rPr>
                <w:sz w:val="16"/>
                <w:szCs w:val="16"/>
              </w:rPr>
              <w:t xml:space="preserve">     (1)  Papers published (full citation including the title of the paper);</w:t>
            </w:r>
          </w:p>
          <w:p w:rsidR="009B327D" w:rsidRPr="002341C3" w:rsidRDefault="009B327D">
            <w:pPr>
              <w:spacing w:before="120"/>
              <w:rPr>
                <w:sz w:val="16"/>
                <w:szCs w:val="16"/>
              </w:rPr>
            </w:pPr>
            <w:r w:rsidRPr="002341C3">
              <w:rPr>
                <w:sz w:val="16"/>
                <w:szCs w:val="16"/>
              </w:rPr>
              <w:t xml:space="preserve">     (2)  Papers submitted for publication (title, authors list, date of submission, correspondence with the editor);</w:t>
            </w:r>
          </w:p>
          <w:p w:rsidR="009B327D" w:rsidRPr="002341C3" w:rsidRDefault="009B327D">
            <w:pPr>
              <w:spacing w:before="120"/>
              <w:rPr>
                <w:sz w:val="16"/>
                <w:szCs w:val="16"/>
              </w:rPr>
            </w:pPr>
            <w:r w:rsidRPr="002341C3">
              <w:rPr>
                <w:sz w:val="16"/>
                <w:szCs w:val="16"/>
              </w:rPr>
              <w:t xml:space="preserve">     (3)  Manuscripts in preparation (title, authors list, expecting time of submission).</w:t>
            </w:r>
          </w:p>
          <w:p w:rsidR="009B327D" w:rsidRPr="002341C3" w:rsidRDefault="009B327D">
            <w:pPr>
              <w:spacing w:before="120"/>
              <w:rPr>
                <w:i/>
                <w:iCs/>
                <w:sz w:val="16"/>
                <w:szCs w:val="16"/>
              </w:rPr>
            </w:pPr>
            <w:r w:rsidRPr="002341C3">
              <w:rPr>
                <w:i/>
                <w:iCs/>
                <w:sz w:val="16"/>
                <w:szCs w:val="16"/>
              </w:rPr>
              <w:t>2.  Include a list of submissions to Conference Proceedings in following categories:</w:t>
            </w:r>
          </w:p>
          <w:p w:rsidR="009B327D" w:rsidRPr="002341C3" w:rsidRDefault="009B327D">
            <w:pPr>
              <w:spacing w:before="120"/>
              <w:rPr>
                <w:sz w:val="16"/>
                <w:szCs w:val="16"/>
              </w:rPr>
            </w:pPr>
            <w:r w:rsidRPr="002341C3">
              <w:rPr>
                <w:sz w:val="16"/>
                <w:szCs w:val="16"/>
              </w:rPr>
              <w:t xml:space="preserve">     (1)  Papers presented to Proceedings (full citation including the title of the paper, poster/oral presentation);</w:t>
            </w:r>
          </w:p>
          <w:p w:rsidR="009B327D" w:rsidRPr="002341C3" w:rsidRDefault="009B327D">
            <w:pPr>
              <w:spacing w:before="120"/>
              <w:rPr>
                <w:sz w:val="16"/>
                <w:szCs w:val="16"/>
              </w:rPr>
            </w:pPr>
            <w:r w:rsidRPr="002341C3">
              <w:rPr>
                <w:sz w:val="16"/>
                <w:szCs w:val="16"/>
              </w:rPr>
              <w:t xml:space="preserve">     (2)  Papers submitted to Conference Proceedings (title, authors list, date of submission);</w:t>
            </w:r>
          </w:p>
          <w:p w:rsidR="009B327D" w:rsidRPr="002341C3" w:rsidRDefault="009B327D">
            <w:pPr>
              <w:spacing w:before="120"/>
              <w:rPr>
                <w:sz w:val="16"/>
                <w:szCs w:val="16"/>
              </w:rPr>
            </w:pPr>
            <w:r w:rsidRPr="002341C3">
              <w:rPr>
                <w:sz w:val="16"/>
                <w:szCs w:val="16"/>
              </w:rPr>
              <w:t xml:space="preserve">     (3)  Papers to be submitted to Conference Proceedings (title, authors list, expected date of submission).</w:t>
            </w:r>
          </w:p>
        </w:tc>
      </w:tr>
      <w:tr w:rsidR="009B327D" w:rsidRPr="002341C3">
        <w:tc>
          <w:tcPr>
            <w:tcW w:w="1728" w:type="dxa"/>
          </w:tcPr>
          <w:p w:rsidR="009B327D" w:rsidRPr="002341C3" w:rsidRDefault="009B327D">
            <w:pPr>
              <w:jc w:val="center"/>
              <w:rPr>
                <w:u w:val="single"/>
              </w:rPr>
            </w:pPr>
          </w:p>
          <w:p w:rsidR="009B327D" w:rsidRPr="002341C3" w:rsidRDefault="009B327D">
            <w:pPr>
              <w:jc w:val="center"/>
              <w:rPr>
                <w:caps/>
              </w:rPr>
            </w:pPr>
          </w:p>
          <w:p w:rsidR="009B327D" w:rsidRPr="002341C3" w:rsidRDefault="009B327D">
            <w:pPr>
              <w:rPr>
                <w:caps/>
              </w:rPr>
            </w:pPr>
          </w:p>
          <w:p w:rsidR="009B327D" w:rsidRPr="002341C3" w:rsidRDefault="009B327D">
            <w:pPr>
              <w:rPr>
                <w:caps/>
              </w:rPr>
            </w:pPr>
          </w:p>
          <w:p w:rsidR="009B327D" w:rsidRPr="002341C3" w:rsidRDefault="009B327D">
            <w:pPr>
              <w:rPr>
                <w:caps/>
              </w:rPr>
            </w:pPr>
          </w:p>
          <w:p w:rsidR="009B327D" w:rsidRPr="002341C3" w:rsidRDefault="009B327D">
            <w:pPr>
              <w:rPr>
                <w:caps/>
              </w:rPr>
            </w:pPr>
          </w:p>
          <w:p w:rsidR="009B327D" w:rsidRPr="002341C3" w:rsidRDefault="009B327D">
            <w:pPr>
              <w:rPr>
                <w:caps/>
              </w:rPr>
            </w:pPr>
          </w:p>
          <w:p w:rsidR="009B327D" w:rsidRPr="002341C3" w:rsidRDefault="009B327D">
            <w:pPr>
              <w:rPr>
                <w:caps/>
              </w:rPr>
            </w:pPr>
          </w:p>
          <w:p w:rsidR="009B327D" w:rsidRPr="002341C3" w:rsidRDefault="009B327D">
            <w:pPr>
              <w:jc w:val="center"/>
              <w:rPr>
                <w:b/>
                <w:bCs/>
                <w:caps/>
              </w:rPr>
            </w:pPr>
            <w:r w:rsidRPr="002341C3">
              <w:rPr>
                <w:b/>
                <w:bCs/>
                <w:caps/>
              </w:rPr>
              <w:t>Advisor Evaluation</w:t>
            </w:r>
          </w:p>
          <w:p w:rsidR="009B327D" w:rsidRPr="002341C3" w:rsidRDefault="009B327D">
            <w:pPr>
              <w:jc w:val="center"/>
              <w:rPr>
                <w:b/>
                <w:bCs/>
                <w:caps/>
              </w:rPr>
            </w:pPr>
          </w:p>
          <w:p w:rsidR="009B327D" w:rsidRPr="002341C3" w:rsidRDefault="009B327D">
            <w:pPr>
              <w:jc w:val="center"/>
              <w:rPr>
                <w:b/>
                <w:bCs/>
                <w:caps/>
              </w:rPr>
            </w:pPr>
          </w:p>
          <w:p w:rsidR="009B327D" w:rsidRPr="002341C3" w:rsidRDefault="009B327D">
            <w:pPr>
              <w:jc w:val="center"/>
              <w:rPr>
                <w:b/>
                <w:bCs/>
                <w:caps/>
              </w:rPr>
            </w:pPr>
          </w:p>
          <w:p w:rsidR="009B327D" w:rsidRPr="002341C3" w:rsidRDefault="009B327D">
            <w:pPr>
              <w:jc w:val="center"/>
              <w:rPr>
                <w:b/>
                <w:bCs/>
                <w:caps/>
              </w:rPr>
            </w:pPr>
          </w:p>
          <w:p w:rsidR="009B327D" w:rsidRPr="002341C3" w:rsidRDefault="009B327D">
            <w:pPr>
              <w:jc w:val="center"/>
              <w:rPr>
                <w:u w:val="single"/>
              </w:rPr>
            </w:pPr>
          </w:p>
        </w:tc>
        <w:tc>
          <w:tcPr>
            <w:tcW w:w="7848" w:type="dxa"/>
          </w:tcPr>
          <w:p w:rsidR="009B327D" w:rsidRPr="002341C3" w:rsidRDefault="009B327D">
            <w:pPr>
              <w:spacing w:before="240"/>
              <w:rPr>
                <w:sz w:val="16"/>
                <w:szCs w:val="16"/>
              </w:rPr>
            </w:pPr>
            <w:r w:rsidRPr="002341C3">
              <w:rPr>
                <w:sz w:val="16"/>
                <w:szCs w:val="16"/>
              </w:rPr>
              <w:t>Evaluate student performance in the following categories:</w:t>
            </w:r>
          </w:p>
          <w:p w:rsidR="009B327D" w:rsidRPr="002341C3" w:rsidRDefault="009B327D">
            <w:pPr>
              <w:spacing w:before="120"/>
              <w:rPr>
                <w:i/>
                <w:iCs/>
                <w:sz w:val="16"/>
                <w:szCs w:val="16"/>
              </w:rPr>
            </w:pPr>
            <w:r w:rsidRPr="002341C3">
              <w:rPr>
                <w:i/>
                <w:iCs/>
                <w:sz w:val="16"/>
                <w:szCs w:val="16"/>
              </w:rPr>
              <w:t>1. Progress in reading literature and assimilating background information</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w:t>
            </w:r>
            <w:r w:rsidRPr="002341C3">
              <w:rPr>
                <w:sz w:val="16"/>
                <w:szCs w:val="16"/>
              </w:rPr>
              <w:tab/>
              <w:t>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2. Bench work</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w:t>
            </w:r>
            <w:r w:rsidRPr="002341C3">
              <w:rPr>
                <w:sz w:val="16"/>
                <w:szCs w:val="16"/>
              </w:rPr>
              <w:tab/>
              <w:t>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3. Manuscript work</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w:t>
            </w:r>
            <w:r w:rsidRPr="002341C3">
              <w:rPr>
                <w:sz w:val="16"/>
                <w:szCs w:val="16"/>
              </w:rPr>
              <w:tab/>
              <w:t>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4. Poster/Talk Preparation for Proceedings</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w:t>
            </w:r>
            <w:r w:rsidRPr="002341C3">
              <w:rPr>
                <w:sz w:val="16"/>
                <w:szCs w:val="16"/>
              </w:rPr>
              <w:tab/>
              <w:t>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5. Seminar Talks</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w:t>
            </w:r>
            <w:r w:rsidRPr="002341C3">
              <w:rPr>
                <w:sz w:val="16"/>
                <w:szCs w:val="16"/>
              </w:rPr>
              <w:tab/>
              <w:t>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6. Preparation for group meetings</w:t>
            </w:r>
          </w:p>
          <w:p w:rsidR="009B327D" w:rsidRPr="002341C3" w:rsidRDefault="009B327D">
            <w:pPr>
              <w:spacing w:before="120"/>
              <w:rPr>
                <w:sz w:val="16"/>
                <w:szCs w:val="16"/>
              </w:rPr>
            </w:pPr>
            <w:r w:rsidRPr="002341C3">
              <w:rPr>
                <w:sz w:val="16"/>
                <w:szCs w:val="16"/>
              </w:rPr>
              <w:t>Outstanding</w:t>
            </w:r>
            <w:r w:rsidRPr="002341C3">
              <w:rPr>
                <w:sz w:val="16"/>
                <w:szCs w:val="16"/>
              </w:rPr>
              <w:tab/>
              <w:t>Excellent</w:t>
            </w:r>
            <w:r w:rsidRPr="002341C3">
              <w:rPr>
                <w:sz w:val="16"/>
                <w:szCs w:val="16"/>
              </w:rPr>
              <w:tab/>
              <w:t xml:space="preserve"> Very Good                 Good</w:t>
            </w:r>
            <w:r w:rsidRPr="002341C3">
              <w:rPr>
                <w:sz w:val="16"/>
                <w:szCs w:val="16"/>
              </w:rPr>
              <w:tab/>
              <w:t>Satisfactory</w:t>
            </w:r>
            <w:r w:rsidRPr="002341C3">
              <w:rPr>
                <w:sz w:val="16"/>
                <w:szCs w:val="16"/>
              </w:rPr>
              <w:tab/>
              <w:t>Unsatisfactory</w:t>
            </w:r>
            <w:r w:rsidRPr="002341C3">
              <w:rPr>
                <w:sz w:val="16"/>
                <w:szCs w:val="16"/>
              </w:rPr>
              <w:tab/>
              <w:t>N/A</w:t>
            </w:r>
          </w:p>
          <w:p w:rsidR="009B327D" w:rsidRPr="002341C3" w:rsidRDefault="009B327D">
            <w:pPr>
              <w:spacing w:before="120"/>
              <w:rPr>
                <w:b/>
                <w:bCs/>
                <w:sz w:val="16"/>
                <w:szCs w:val="16"/>
              </w:rPr>
            </w:pPr>
            <w:r w:rsidRPr="002341C3">
              <w:rPr>
                <w:b/>
                <w:bCs/>
                <w:sz w:val="16"/>
                <w:szCs w:val="16"/>
              </w:rPr>
              <w:t>Please attach additional comments.</w:t>
            </w:r>
          </w:p>
          <w:p w:rsidR="009B327D" w:rsidRPr="002341C3" w:rsidRDefault="009B327D">
            <w:pPr>
              <w:jc w:val="both"/>
              <w:rPr>
                <w:u w:val="single"/>
              </w:rPr>
            </w:pPr>
          </w:p>
        </w:tc>
      </w:tr>
      <w:tr w:rsidR="009B327D" w:rsidRPr="002341C3">
        <w:tc>
          <w:tcPr>
            <w:tcW w:w="1728" w:type="dxa"/>
          </w:tcPr>
          <w:p w:rsidR="009B327D" w:rsidRPr="002341C3" w:rsidRDefault="009B327D">
            <w:pPr>
              <w:rPr>
                <w:caps/>
                <w:u w:val="single"/>
              </w:rPr>
            </w:pPr>
          </w:p>
          <w:p w:rsidR="009B327D" w:rsidRPr="002341C3" w:rsidRDefault="009B327D">
            <w:pPr>
              <w:rPr>
                <w:caps/>
                <w:u w:val="single"/>
              </w:rPr>
            </w:pPr>
          </w:p>
          <w:p w:rsidR="009B327D" w:rsidRPr="002341C3" w:rsidRDefault="009B327D">
            <w:pPr>
              <w:rPr>
                <w:caps/>
                <w:u w:val="single"/>
              </w:rPr>
            </w:pPr>
          </w:p>
          <w:p w:rsidR="009B327D" w:rsidRPr="002341C3" w:rsidRDefault="009B327D">
            <w:pPr>
              <w:rPr>
                <w:caps/>
                <w:u w:val="single"/>
              </w:rPr>
            </w:pPr>
          </w:p>
          <w:p w:rsidR="009B327D" w:rsidRPr="002341C3" w:rsidRDefault="009B327D">
            <w:pPr>
              <w:rPr>
                <w:caps/>
                <w:u w:val="single"/>
              </w:rPr>
            </w:pPr>
          </w:p>
          <w:p w:rsidR="009B327D" w:rsidRPr="002341C3" w:rsidRDefault="009B327D">
            <w:pPr>
              <w:jc w:val="center"/>
              <w:rPr>
                <w:b/>
                <w:bCs/>
                <w:caps/>
              </w:rPr>
            </w:pPr>
            <w:r w:rsidRPr="002341C3">
              <w:rPr>
                <w:b/>
                <w:bCs/>
                <w:caps/>
              </w:rPr>
              <w:t>Ph.d. Dissertation Committee Evaluation</w:t>
            </w:r>
          </w:p>
          <w:p w:rsidR="009B327D" w:rsidRPr="002341C3" w:rsidRDefault="009B327D">
            <w:pPr>
              <w:rPr>
                <w:u w:val="single"/>
              </w:rPr>
            </w:pPr>
          </w:p>
          <w:p w:rsidR="009B327D" w:rsidRPr="002341C3" w:rsidRDefault="009B327D">
            <w:pPr>
              <w:rPr>
                <w:u w:val="single"/>
              </w:rPr>
            </w:pPr>
          </w:p>
        </w:tc>
        <w:tc>
          <w:tcPr>
            <w:tcW w:w="7848" w:type="dxa"/>
          </w:tcPr>
          <w:p w:rsidR="009B327D" w:rsidRPr="002341C3" w:rsidRDefault="009B327D">
            <w:pPr>
              <w:spacing w:before="120"/>
              <w:rPr>
                <w:sz w:val="16"/>
                <w:szCs w:val="16"/>
              </w:rPr>
            </w:pPr>
            <w:r w:rsidRPr="002341C3">
              <w:rPr>
                <w:sz w:val="16"/>
                <w:szCs w:val="16"/>
              </w:rPr>
              <w:t>Evaluate student performance in the following categories:</w:t>
            </w:r>
          </w:p>
          <w:p w:rsidR="009B327D" w:rsidRPr="002341C3" w:rsidRDefault="009B327D">
            <w:pPr>
              <w:spacing w:before="120"/>
              <w:rPr>
                <w:i/>
                <w:iCs/>
                <w:sz w:val="16"/>
                <w:szCs w:val="16"/>
              </w:rPr>
            </w:pPr>
            <w:r w:rsidRPr="002341C3">
              <w:rPr>
                <w:i/>
                <w:iCs/>
                <w:sz w:val="16"/>
                <w:szCs w:val="16"/>
              </w:rPr>
              <w:t>1. Progress in reading literature and assimilating background information</w:t>
            </w:r>
          </w:p>
          <w:p w:rsidR="009B327D" w:rsidRPr="002341C3" w:rsidRDefault="009B327D">
            <w:pPr>
              <w:spacing w:before="120"/>
              <w:rPr>
                <w:sz w:val="16"/>
                <w:szCs w:val="16"/>
              </w:rPr>
            </w:pPr>
            <w:r w:rsidRPr="002341C3">
              <w:rPr>
                <w:sz w:val="16"/>
                <w:szCs w:val="16"/>
              </w:rPr>
              <w:t>Outstanding               Excellent        Very Good              Good             Satisfactory         Unsatisfactory</w:t>
            </w:r>
            <w:r w:rsidRPr="002341C3">
              <w:rPr>
                <w:sz w:val="16"/>
                <w:szCs w:val="16"/>
              </w:rPr>
              <w:tab/>
              <w:t>N/A</w:t>
            </w:r>
          </w:p>
          <w:p w:rsidR="009B327D" w:rsidRPr="002341C3" w:rsidRDefault="009B327D">
            <w:pPr>
              <w:spacing w:before="120"/>
              <w:rPr>
                <w:i/>
                <w:iCs/>
                <w:sz w:val="16"/>
                <w:szCs w:val="16"/>
              </w:rPr>
            </w:pPr>
            <w:r w:rsidRPr="002341C3">
              <w:rPr>
                <w:i/>
                <w:iCs/>
                <w:sz w:val="16"/>
                <w:szCs w:val="16"/>
              </w:rPr>
              <w:t>2. Bench work</w:t>
            </w:r>
          </w:p>
          <w:p w:rsidR="009B327D" w:rsidRPr="002341C3" w:rsidRDefault="009B327D">
            <w:pPr>
              <w:spacing w:before="120"/>
              <w:rPr>
                <w:sz w:val="16"/>
                <w:szCs w:val="16"/>
              </w:rPr>
            </w:pPr>
            <w:r w:rsidRPr="002341C3">
              <w:rPr>
                <w:sz w:val="16"/>
                <w:szCs w:val="16"/>
              </w:rPr>
              <w:t>Outstanding               Excellent        Very Good              Good             Satisfactory         Unsatisfactory                 N/A</w:t>
            </w:r>
          </w:p>
          <w:p w:rsidR="009B327D" w:rsidRPr="002341C3" w:rsidRDefault="009B327D">
            <w:pPr>
              <w:spacing w:before="120"/>
              <w:rPr>
                <w:i/>
                <w:iCs/>
                <w:sz w:val="16"/>
                <w:szCs w:val="16"/>
              </w:rPr>
            </w:pPr>
            <w:r w:rsidRPr="002341C3">
              <w:rPr>
                <w:i/>
                <w:iCs/>
                <w:sz w:val="16"/>
                <w:szCs w:val="16"/>
              </w:rPr>
              <w:t>3. Manuscript work</w:t>
            </w:r>
          </w:p>
          <w:p w:rsidR="009B327D" w:rsidRPr="002341C3" w:rsidRDefault="009B327D">
            <w:pPr>
              <w:spacing w:before="120"/>
              <w:rPr>
                <w:sz w:val="16"/>
                <w:szCs w:val="16"/>
              </w:rPr>
            </w:pPr>
            <w:r w:rsidRPr="002341C3">
              <w:rPr>
                <w:sz w:val="16"/>
                <w:szCs w:val="16"/>
              </w:rPr>
              <w:t>Outstanding               Excellent         Very Good             Good             Satisfactory         Unsatisfactory                 N/A</w:t>
            </w:r>
          </w:p>
          <w:p w:rsidR="009B327D" w:rsidRPr="002341C3" w:rsidRDefault="009B327D">
            <w:pPr>
              <w:spacing w:before="120"/>
              <w:rPr>
                <w:i/>
                <w:iCs/>
                <w:sz w:val="16"/>
                <w:szCs w:val="16"/>
              </w:rPr>
            </w:pPr>
            <w:r w:rsidRPr="002341C3">
              <w:rPr>
                <w:i/>
                <w:iCs/>
                <w:sz w:val="16"/>
                <w:szCs w:val="16"/>
              </w:rPr>
              <w:t>4. Poster/Talk Preparation for Proceedings</w:t>
            </w:r>
          </w:p>
          <w:p w:rsidR="009B327D" w:rsidRPr="002341C3" w:rsidRDefault="009B327D">
            <w:pPr>
              <w:spacing w:before="120"/>
              <w:rPr>
                <w:sz w:val="16"/>
                <w:szCs w:val="16"/>
              </w:rPr>
            </w:pPr>
            <w:r w:rsidRPr="002341C3">
              <w:rPr>
                <w:sz w:val="16"/>
                <w:szCs w:val="16"/>
              </w:rPr>
              <w:t>Outstanding               Excellent        Very Good              Good              Satisfactory        Unsatisfactory                 N/A</w:t>
            </w:r>
          </w:p>
          <w:p w:rsidR="009B327D" w:rsidRPr="002341C3" w:rsidRDefault="009B327D">
            <w:pPr>
              <w:spacing w:before="120"/>
              <w:rPr>
                <w:i/>
                <w:iCs/>
                <w:sz w:val="16"/>
                <w:szCs w:val="16"/>
              </w:rPr>
            </w:pPr>
            <w:r w:rsidRPr="002341C3">
              <w:rPr>
                <w:i/>
                <w:iCs/>
                <w:sz w:val="16"/>
                <w:szCs w:val="16"/>
              </w:rPr>
              <w:t>5. Seminar Talks</w:t>
            </w:r>
          </w:p>
          <w:p w:rsidR="009B327D" w:rsidRPr="002341C3" w:rsidRDefault="009B327D">
            <w:pPr>
              <w:spacing w:before="120"/>
              <w:rPr>
                <w:sz w:val="16"/>
                <w:szCs w:val="16"/>
              </w:rPr>
            </w:pPr>
            <w:r w:rsidRPr="002341C3">
              <w:rPr>
                <w:sz w:val="16"/>
                <w:szCs w:val="16"/>
              </w:rPr>
              <w:t>Outstanding                Excellent        Very Good             Good               Satisfactory       Unsatisfactory                 N/A</w:t>
            </w:r>
          </w:p>
          <w:p w:rsidR="009B327D" w:rsidRPr="002341C3" w:rsidRDefault="009B327D">
            <w:pPr>
              <w:spacing w:before="120"/>
              <w:rPr>
                <w:b/>
                <w:bCs/>
                <w:sz w:val="16"/>
                <w:szCs w:val="16"/>
              </w:rPr>
            </w:pPr>
            <w:r w:rsidRPr="002341C3">
              <w:rPr>
                <w:b/>
                <w:bCs/>
                <w:sz w:val="16"/>
                <w:szCs w:val="16"/>
              </w:rPr>
              <w:t>Please attach additional comments.</w:t>
            </w:r>
          </w:p>
        </w:tc>
      </w:tr>
    </w:tbl>
    <w:p w:rsidR="009B327D" w:rsidRDefault="009B327D"/>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Pr>
          <w:b/>
          <w:bCs/>
          <w:smallCaps/>
          <w:sz w:val="22"/>
          <w:szCs w:val="22"/>
        </w:rPr>
        <w:t>Table III. Chemistry Graduate Student Professional Activities 2008-2009</w:t>
      </w:r>
    </w:p>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p>
    <w:tbl>
      <w:tblPr>
        <w:tblW w:w="9997" w:type="dxa"/>
        <w:tblInd w:w="-106" w:type="dxa"/>
        <w:tblBorders>
          <w:top w:val="single" w:sz="4" w:space="0" w:color="auto"/>
          <w:left w:val="single" w:sz="4" w:space="0" w:color="auto"/>
          <w:bottom w:val="single" w:sz="4" w:space="0" w:color="auto"/>
          <w:right w:val="single" w:sz="4" w:space="0" w:color="auto"/>
        </w:tblBorders>
        <w:tblLook w:val="0000"/>
      </w:tblPr>
      <w:tblGrid>
        <w:gridCol w:w="5"/>
        <w:gridCol w:w="1672"/>
        <w:gridCol w:w="1405"/>
        <w:gridCol w:w="3460"/>
        <w:gridCol w:w="1560"/>
        <w:gridCol w:w="1900"/>
      </w:tblGrid>
      <w:tr w:rsidR="009B327D" w:rsidRPr="002341C3">
        <w:trPr>
          <w:trHeight w:val="255"/>
        </w:trPr>
        <w:tc>
          <w:tcPr>
            <w:tcW w:w="1672" w:type="dxa"/>
            <w:gridSpan w:val="2"/>
            <w:tcBorders>
              <w:top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jc w:val="center"/>
              <w:rPr>
                <w:b/>
                <w:bCs/>
              </w:rPr>
            </w:pPr>
            <w:bookmarkStart w:id="2" w:name="RANGE_A1_E118"/>
            <w:r w:rsidRPr="002341C3">
              <w:rPr>
                <w:b/>
                <w:bCs/>
              </w:rPr>
              <w:t>Student</w:t>
            </w:r>
            <w:bookmarkEnd w:id="2"/>
          </w:p>
        </w:tc>
        <w:tc>
          <w:tcPr>
            <w:tcW w:w="1405" w:type="dxa"/>
            <w:tcBorders>
              <w:top w:val="single" w:sz="4" w:space="0" w:color="auto"/>
              <w:left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jc w:val="center"/>
              <w:rPr>
                <w:b/>
                <w:bCs/>
              </w:rPr>
            </w:pPr>
            <w:r w:rsidRPr="002341C3">
              <w:rPr>
                <w:b/>
                <w:bCs/>
              </w:rPr>
              <w:t>Award/Grant</w:t>
            </w:r>
          </w:p>
        </w:tc>
        <w:tc>
          <w:tcPr>
            <w:tcW w:w="3460" w:type="dxa"/>
            <w:tcBorders>
              <w:top w:val="single" w:sz="4" w:space="0" w:color="auto"/>
              <w:left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jc w:val="center"/>
              <w:rPr>
                <w:b/>
                <w:bCs/>
              </w:rPr>
            </w:pPr>
            <w:r w:rsidRPr="002341C3">
              <w:rPr>
                <w:b/>
                <w:bCs/>
              </w:rPr>
              <w:t>Papers Presented at Conferences</w:t>
            </w:r>
          </w:p>
        </w:tc>
        <w:tc>
          <w:tcPr>
            <w:tcW w:w="1560" w:type="dxa"/>
            <w:tcBorders>
              <w:top w:val="single" w:sz="4" w:space="0" w:color="auto"/>
              <w:left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rPr>
                <w:b/>
                <w:bCs/>
              </w:rPr>
            </w:pPr>
            <w:r w:rsidRPr="002341C3">
              <w:rPr>
                <w:b/>
                <w:bCs/>
              </w:rPr>
              <w:t>Presentation Type</w:t>
            </w:r>
          </w:p>
        </w:tc>
        <w:tc>
          <w:tcPr>
            <w:tcW w:w="1900" w:type="dxa"/>
            <w:tcBorders>
              <w:top w:val="single" w:sz="4" w:space="0" w:color="auto"/>
              <w:left w:val="single" w:sz="4" w:space="0" w:color="auto"/>
              <w:bottom w:val="single" w:sz="4" w:space="0" w:color="auto"/>
            </w:tcBorders>
            <w:noWrap/>
            <w:vAlign w:val="bottom"/>
          </w:tcPr>
          <w:p w:rsidR="009B327D" w:rsidRPr="002341C3" w:rsidRDefault="009B327D">
            <w:pPr>
              <w:widowControl/>
              <w:autoSpaceDE/>
              <w:autoSpaceDN/>
              <w:adjustRightInd/>
              <w:jc w:val="center"/>
              <w:rPr>
                <w:b/>
                <w:bCs/>
              </w:rPr>
            </w:pPr>
            <w:r w:rsidRPr="002341C3">
              <w:rPr>
                <w:b/>
                <w:bCs/>
              </w:rPr>
              <w:t>Journal Publication</w:t>
            </w:r>
          </w:p>
        </w:tc>
      </w:tr>
      <w:tr w:rsidR="009B327D" w:rsidRPr="002341C3">
        <w:trPr>
          <w:trHeight w:val="255"/>
        </w:trPr>
        <w:tc>
          <w:tcPr>
            <w:tcW w:w="1672" w:type="dxa"/>
            <w:gridSpan w:val="2"/>
            <w:tcBorders>
              <w:top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1405" w:type="dxa"/>
            <w:tcBorders>
              <w:top w:val="single" w:sz="4" w:space="0" w:color="auto"/>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1560" w:type="dxa"/>
            <w:tcBorders>
              <w:top w:val="single" w:sz="4" w:space="0" w:color="auto"/>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1900" w:type="dxa"/>
            <w:tcBorders>
              <w:top w:val="single" w:sz="4" w:space="0" w:color="auto"/>
              <w:left w:val="single" w:sz="4" w:space="0" w:color="auto"/>
              <w:bottom w:val="nil"/>
            </w:tcBorders>
            <w:noWrap/>
            <w:vAlign w:val="bottom"/>
          </w:tcPr>
          <w:p w:rsidR="009B327D" w:rsidRPr="002341C3" w:rsidRDefault="009B327D">
            <w:pPr>
              <w:widowControl/>
              <w:autoSpaceDE/>
              <w:autoSpaceDN/>
              <w:adjustRightInd/>
            </w:pPr>
          </w:p>
        </w:tc>
      </w:tr>
      <w:tr w:rsidR="009B327D" w:rsidRPr="002341C3">
        <w:trPr>
          <w:trHeight w:val="1020"/>
        </w:trPr>
        <w:tc>
          <w:tcPr>
            <w:tcW w:w="1672" w:type="dxa"/>
            <w:gridSpan w:val="2"/>
            <w:tcBorders>
              <w:top w:val="nil"/>
              <w:bottom w:val="nil"/>
              <w:right w:val="single" w:sz="4" w:space="0" w:color="auto"/>
            </w:tcBorders>
          </w:tcPr>
          <w:p w:rsidR="009B327D" w:rsidRPr="002341C3" w:rsidRDefault="009B327D">
            <w:pPr>
              <w:widowControl/>
              <w:autoSpaceDE/>
              <w:autoSpaceDN/>
              <w:adjustRightInd/>
              <w:rPr>
                <w:b/>
                <w:bCs/>
              </w:rPr>
            </w:pPr>
            <w:r w:rsidRPr="002341C3">
              <w:rPr>
                <w:b/>
                <w:bCs/>
              </w:rPr>
              <w:t>Oruba Abdallah</w:t>
            </w: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GAANN Fellowship August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"Factor Va Light Chain Interaction with Factor Xa During Prothrombin Activation," 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Charbel Aboudiwan</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Molecular Medicine Fellowship (2007-2009)</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 </w:t>
            </w:r>
            <w:r w:rsidRPr="002341C3">
              <w:rPr>
                <w:i/>
                <w:iCs/>
              </w:rPr>
              <w:t xml:space="preserve">NOS-based biopolymeric coatings."  </w:t>
            </w:r>
            <w:r w:rsidRPr="002341C3">
              <w:t xml:space="preserve">Polymer Innovation Northeast Ohio (PINO), Cleveland, OH, United States, June 30 (2008). </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1275"/>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rPr>
                <w:i/>
                <w:iCs/>
              </w:rPr>
              <w:t xml:space="preserve">"Nitric Oxide release from polyethyleneimine nanofilms."  </w:t>
            </w:r>
            <w:r w:rsidRPr="002341C3">
              <w:t>Sixieme Conference Internationale sur la Science des Materiaux, Beirut, Lebanon, July 16-18 (2008).</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rPr>
                <w:i/>
                <w:iCs/>
              </w:rPr>
              <w:t xml:space="preserve">"NOS-based multi-layered polymeric thin films."  </w:t>
            </w:r>
            <w:r w:rsidRPr="002341C3">
              <w:t xml:space="preserve">Abstracts, 214th Meeting of the Electrochemical Society, Honolulu, HI, United States, October 12-17 (2008). </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785"/>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Fang Fang</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rPr>
                <w:color w:val="000000"/>
              </w:rPr>
            </w:pPr>
            <w:r w:rsidRPr="002341C3">
              <w:rPr>
                <w:color w:val="000000"/>
              </w:rPr>
              <w:t xml:space="preserve">"Mutation in Nuclear Pore Component NUP155 Leads to Atrial Fibrillation and Early Sudden Cardiac Death" </w:t>
            </w:r>
            <w:r w:rsidRPr="002341C3">
              <w:rPr>
                <w:i/>
                <w:iCs/>
                <w:color w:val="000000"/>
              </w:rPr>
              <w:t xml:space="preserve">Cell </w:t>
            </w:r>
            <w:r w:rsidRPr="002341C3">
              <w:rPr>
                <w:color w:val="000000"/>
              </w:rPr>
              <w:t>135(6) pp. 1017 - 1027</w:t>
            </w:r>
          </w:p>
        </w:tc>
      </w:tr>
      <w:tr w:rsidR="009B327D" w:rsidRPr="002341C3">
        <w:trPr>
          <w:trHeight w:val="61"/>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765"/>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Rati Lama</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American Chemical Society Meeting-in-Miniature, Cleveland, OH, March 18,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51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72"/>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rPr>
                <w:rFonts w:ascii="Arial" w:hAnsi="Arial" w:cs="Arial"/>
              </w:rPr>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899"/>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Lan Li</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Outstanding Presentation Award, American Chemical Society Meeting-in-Miniature</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"Analytical Method Development for 6-Benzolthionosine, A Novel Myeloid Differentiation-Inducing Agent", American Chemical Society Meeting-in-Miniature, Cleveland, OH, March 18, 2009</w:t>
            </w:r>
          </w:p>
        </w:tc>
        <w:tc>
          <w:tcPr>
            <w:tcW w:w="1560" w:type="dxa"/>
            <w:tcBorders>
              <w:top w:val="single" w:sz="4" w:space="0" w:color="auto"/>
              <w:left w:val="single" w:sz="4" w:space="0" w:color="auto"/>
              <w:bottom w:val="nil"/>
              <w:right w:val="single" w:sz="4" w:space="0" w:color="auto"/>
            </w:tcBorders>
            <w:noWrap/>
          </w:tcPr>
          <w:p w:rsidR="009B327D" w:rsidRPr="002341C3" w:rsidRDefault="009B327D">
            <w:pPr>
              <w:widowControl/>
              <w:autoSpaceDE/>
              <w:autoSpaceDN/>
              <w:adjustRightInd/>
            </w:pPr>
            <w:r w:rsidRPr="002341C3">
              <w:t>oral</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Travel Award $1,000 (2009)</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"Analytical Method Development for 6-Benzolthionosine, A Novel Myeloid Differentiation-Inducing Agent", 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98"/>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53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Molecular Medicine Travel Award (ASMS) 2009</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"Quantitative Analhysis of 6-Benzylthioinosine, A Promising Therapeutic Agent for Acute Myeloid Leukemia," 41st Central Regional Meeting of the American Chemical Society, Cleveland, OH, May 20-23,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161"/>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"Determination of 6-Benzylthioinosine in Human and Mouse Plasma by LC-ESI-MS/MS," 67th ASMS Conference on Mass Spectrometry, Philadelphia, PA, May 31-June 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gridSpan w:val="2"/>
            <w:tcBorders>
              <w:top w:val="nil"/>
              <w:bottom w:val="single" w:sz="4" w:space="0" w:color="auto"/>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r w:rsidR="009B327D" w:rsidRPr="002341C3">
        <w:trPr>
          <w:trHeight w:val="1275"/>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Ling Li</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Hemin- and Hemoprotein-catalyzed Electro-reduction of Aliphatic Nitro-compounds,"  American Chemical Society, Meeting-in-Miniature, Cleveland, OH, March 18,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765"/>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Hanan Mohammad</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GAANN Fellowship, August 2008</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Research Day, April 24,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2295"/>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John Moran</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Travel Grant Copenhagen, DK $650</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 Presentation, EUCHEM Conference on Molten Salts and Ionic Liquids, Copenhagen, DK, August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r w:rsidRPr="002341C3">
              <w:t>"Discovery of Bound and Unbound Waters in Crystalline Amino Acids Revealed by Thermal Analysis," Journal of Thermal Analysis and Calorimetry, Vol. 93 (2008) 1, 295–300</w:t>
            </w:r>
          </w:p>
        </w:tc>
      </w:tr>
      <w:tr w:rsidR="009B327D" w:rsidRPr="002341C3">
        <w:trPr>
          <w:trHeight w:val="51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American Chemical Society Meeting-in-Miniature, Cleveland, OH, March 18,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br w:type="page"/>
            </w:r>
            <w:r w:rsidRPr="002341C3">
              <w:rPr>
                <w:b/>
                <w:bCs/>
              </w:rPr>
              <w:t>Nikolas Neric</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Ernest B. Yeager Award May 2008</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"A Spectral Matching Algorithm for Raman Spectroscopy", Pittsburg Conference (PITTCON) 2009, Chicago, IL, March 9,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gridSpan w:val="2"/>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275"/>
        </w:trPr>
        <w:tc>
          <w:tcPr>
            <w:tcW w:w="1672" w:type="dxa"/>
            <w:gridSpan w:val="2"/>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GAANN Fellowship August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"Water Analysis of Toxic Metals in Canned Green Beans by Means of Inductively Coupled Plasma (ICP), 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gridSpan w:val="2"/>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"Retinal Pigment Epithelium (RPE) Protein Changes During Aging: A Proteomic Approach," ARVO 2009, Ft. Lauderdale, FL, May 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020"/>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"Automated Raman Correlation within a Mineral Database," Central Regional Meeting of the American Chemical Society, Cleveland, OH, May 20-23,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275"/>
        </w:trPr>
        <w:tc>
          <w:tcPr>
            <w:tcW w:w="1672" w:type="dxa"/>
            <w:gridSpan w:val="2"/>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"Methods for Enhancing Chemical Contrast for Hyperspectral Data," Central Regional Meeting of the American Chemical Society, Cleveland, OH, May 20-23,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785"/>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W. Pubudu Peiris</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F.C. Mark Graduate Teaching Assistantship Award (2008)</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 “Clusters and Arrays of Ruthenium Oxide Nanowires,” 212th ECS Meeting Washington, DC October 7-12, 2008 </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r w:rsidRPr="002341C3">
              <w:t>Bayachou M., Peiris, P Nitric Oxide Sensor WIPO Patent, WO 2008/070318 A2, International publication date, June 12, 2008.</w:t>
            </w:r>
          </w:p>
        </w:tc>
      </w:tr>
      <w:tr w:rsidR="009B327D" w:rsidRPr="002341C3">
        <w:trPr>
          <w:gridBefore w:val="1"/>
          <w:trHeight w:val="1530"/>
        </w:trPr>
        <w:tc>
          <w:tcPr>
            <w:tcW w:w="1672" w:type="dxa"/>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Molecular Medicine Specialization travel award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 “Enhanced Nitric Oxide sensing on Multi-Walled Carbon nanotubes decorated with Ruthenium nanoparticles,” American Chemical Society Meeting-in-Miniature Cleveland, Ohio; March 18,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76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Travel Award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647"/>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Frank J. Bockhoff Award for Excellence in Undergraduate Teaching (2009)   </w:t>
            </w:r>
          </w:p>
        </w:tc>
        <w:tc>
          <w:tcPr>
            <w:tcW w:w="3460" w:type="dxa"/>
            <w:tcBorders>
              <w:top w:val="nil"/>
              <w:left w:val="single" w:sz="4" w:space="0" w:color="auto"/>
              <w:bottom w:val="nil"/>
              <w:right w:val="single" w:sz="4" w:space="0" w:color="auto"/>
            </w:tcBorders>
            <w:noWrap/>
            <w:vAlign w:val="bottom"/>
          </w:tcPr>
          <w:p w:rsidR="009B327D" w:rsidRPr="002341C3" w:rsidRDefault="009B327D">
            <w:pPr>
              <w:widowControl/>
              <w:autoSpaceDE/>
              <w:autoSpaceDN/>
              <w:adjustRightInd/>
              <w:rPr>
                <w:rFonts w:ascii="Arial" w:hAnsi="Arial" w:cs="Arial"/>
              </w:rPr>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r w:rsidR="009B327D" w:rsidRPr="002341C3">
        <w:trPr>
          <w:gridBefore w:val="1"/>
          <w:trHeight w:val="1020"/>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Reshani Perera</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College of Science Travel Award 2008 </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“Preparation and characterization of nitric oxide synthase enzyme loaded liposomes.” MSNO winter meeting Ohio (2008)</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27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Molecular Medicine Specialization Travel Award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rPr>
                <w:b/>
                <w:bCs/>
              </w:rPr>
              <w:t xml:space="preserve"> “</w:t>
            </w:r>
            <w:r w:rsidRPr="002341C3">
              <w:t>Direct detection of nitric oxide release from live cells using a carbon fiber microelectrode modified with an electroconductive polymer (EDOT) and transition metal catalyst ruthenium (Ru).”</w:t>
            </w:r>
            <w:r w:rsidRPr="002341C3">
              <w:rPr>
                <w:b/>
                <w:bCs/>
              </w:rPr>
              <w:t xml:space="preserve"> </w:t>
            </w:r>
            <w:r w:rsidRPr="002341C3">
              <w:t xml:space="preserve"> 212th ECS Meeting Washington, DC October 7-12, 2008</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poster </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78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Nominee, F.C. Mark Graduate Teaching Assistantship Award (2008)</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“Detection and Quantification of Nitric Oxide Released from Cells and modified liposomes using a Sensitive Metal Catalyst-PEDOT Modified Carbon Fiber Elecgtrode", American Chemical Society Meeting-in-Miniature Cleveland, OH, March 18,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oral</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27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F.C. Mark Graduate Teaching Assistantship Award (2009)</w:t>
            </w: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poster </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r w:rsidR="009B327D" w:rsidRPr="002341C3">
        <w:trPr>
          <w:gridBefore w:val="1"/>
          <w:trHeight w:val="1020"/>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Pham Phong</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Treatment of Various Cancer Cell Lines with DMAT Results in Cell Death: A Potential Cure for Cancer," College of Science Research Day, April 24,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583"/>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Kerri Smith</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Travel Award: $786 from GAANN fund for travel to Chicago for PITTCON</w:t>
            </w: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Quantification of Antineoplastic Agent Hexamethylene Bisacetamide by LC-ESI-MS/MS, Poster Presentation March 11th 2009 PITTCON Chicago, IL</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poster </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170"/>
        </w:trPr>
        <w:tc>
          <w:tcPr>
            <w:tcW w:w="1672" w:type="dxa"/>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Application of Liquid Chromatography Tandem Mass Spectrometry to Breast Cancer Research , Oral Presentation March 19th 2009 ACS Meeting in Miniature Cleveland, OH</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530"/>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Quantitative Determination of Antineoplastic Agent Hexamethylene Bisacetamide in Mouse Plasma and Tissue by LC-MS/MS, Oral Presentation May 20-23rd CERMACS (ACS Regional Meeting) Cleveland, OH</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r w:rsidR="009B327D" w:rsidRPr="002341C3">
        <w:trPr>
          <w:gridBefore w:val="1"/>
          <w:trHeight w:val="1785"/>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Haiyan Tan</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w:t>
            </w:r>
            <w:r w:rsidRPr="002341C3">
              <w:t>Effect of double –stranded RNA and interferons on tumor cell apoptosis."  Abstract, College of Science Research Day, April 24,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r w:rsidRPr="002341C3">
              <w:t xml:space="preserve">"OGR1’s function in osteoclasts and tumorigenes is revealed in knockout mice." PLoS ONE, </w:t>
            </w:r>
            <w:r w:rsidRPr="002341C3">
              <w:rPr>
                <w:i/>
                <w:iCs/>
              </w:rPr>
              <w:t>accepted for publication 2009</w:t>
            </w:r>
          </w:p>
        </w:tc>
      </w:tr>
      <w:tr w:rsidR="009B327D" w:rsidRPr="002341C3">
        <w:trPr>
          <w:gridBefore w:val="1"/>
          <w:trHeight w:val="61"/>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noWrap/>
            <w:vAlign w:val="bottom"/>
          </w:tcPr>
          <w:p w:rsidR="009B327D" w:rsidRPr="002341C3" w:rsidRDefault="009B327D">
            <w:pPr>
              <w:widowControl/>
              <w:autoSpaceDE/>
              <w:autoSpaceDN/>
              <w:adjustRightInd/>
            </w:pPr>
          </w:p>
        </w:tc>
      </w:tr>
      <w:tr w:rsidR="009B327D" w:rsidRPr="002341C3">
        <w:trPr>
          <w:gridBefore w:val="1"/>
          <w:trHeight w:val="1020"/>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Chamari Walliwalagedara</w:t>
            </w:r>
          </w:p>
        </w:tc>
        <w:tc>
          <w:tcPr>
            <w:tcW w:w="1405" w:type="dxa"/>
            <w:tcBorders>
              <w:top w:val="single" w:sz="4" w:space="0" w:color="auto"/>
              <w:left w:val="single" w:sz="4" w:space="0" w:color="auto"/>
              <w:bottom w:val="nil"/>
              <w:right w:val="single" w:sz="4" w:space="0" w:color="auto"/>
            </w:tcBorders>
            <w:noWrap/>
            <w:vAlign w:val="bottom"/>
          </w:tcPr>
          <w:p w:rsidR="009B327D" w:rsidRPr="002341C3" w:rsidRDefault="009B327D">
            <w:pPr>
              <w:widowControl/>
              <w:autoSpaceDE/>
              <w:autoSpaceDN/>
              <w:adjustRightInd/>
              <w:rPr>
                <w:b/>
                <w:bCs/>
              </w:rPr>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"Induction of Metallothionein II in </w:t>
            </w:r>
            <w:r w:rsidRPr="002341C3">
              <w:rPr>
                <w:i/>
                <w:iCs/>
              </w:rPr>
              <w:t xml:space="preserve">Helianthus annuus", </w:t>
            </w:r>
            <w:r w:rsidRPr="002341C3">
              <w:t>American Chemical Society Meeting-in-Miniature, Cleveland, OH, March 18,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 Power point presentation</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530"/>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rPr>
                <w:color w:val="000000"/>
              </w:rPr>
            </w:pPr>
            <w:r w:rsidRPr="002341C3">
              <w:rPr>
                <w:color w:val="000000"/>
              </w:rPr>
              <w:t xml:space="preserve">“Comparison of sample preparation methods for the resolution of  heavy metal-regulated  proteins by 2-Dimensional Gel Electrophoresis in </w:t>
            </w:r>
            <w:r w:rsidRPr="002341C3">
              <w:rPr>
                <w:i/>
                <w:iCs/>
                <w:color w:val="000000"/>
              </w:rPr>
              <w:t>Helianthus annuus”</w:t>
            </w:r>
            <w:r w:rsidRPr="002341C3">
              <w:rPr>
                <w:color w:val="000000"/>
              </w:rPr>
              <w:t xml:space="preserve"> College of Science Research Day, April 24, 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530"/>
        </w:trPr>
        <w:tc>
          <w:tcPr>
            <w:tcW w:w="1672" w:type="dxa"/>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rPr>
                <w:color w:val="000000"/>
              </w:rPr>
            </w:pPr>
            <w:r w:rsidRPr="002341C3">
              <w:rPr>
                <w:color w:val="000000"/>
              </w:rPr>
              <w:t xml:space="preserve">“Comparison of sample preparation methods for the resolution of  heavy metal-regulated  proteins by 2-Dimensional Gel Electrophoresis in </w:t>
            </w:r>
            <w:r w:rsidRPr="002341C3">
              <w:rPr>
                <w:i/>
                <w:iCs/>
                <w:color w:val="000000"/>
              </w:rPr>
              <w:t>Helianthus annuus”</w:t>
            </w:r>
            <w:r w:rsidRPr="002341C3">
              <w:rPr>
                <w:color w:val="000000"/>
              </w:rPr>
              <w:t xml:space="preserve">  Plant Molecular Biology and Biotechnology Symposium</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1020"/>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Xin Yi</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"Synthesis and evaluation of some steroidal oximes as cytotoxic agents:   Structure/Activity Studies, College of Science Research Day, April 24,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81"/>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r w:rsidR="009B327D" w:rsidRPr="002341C3">
        <w:trPr>
          <w:gridBefore w:val="1"/>
          <w:trHeight w:val="510"/>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Chun Zeng</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College of Science Research Day, April 24, 2009</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p>
        </w:tc>
      </w:tr>
      <w:tr w:rsidR="009B327D" w:rsidRPr="002341C3">
        <w:trPr>
          <w:gridBefore w:val="1"/>
          <w:trHeight w:val="255"/>
        </w:trPr>
        <w:tc>
          <w:tcPr>
            <w:tcW w:w="1672" w:type="dxa"/>
            <w:tcBorders>
              <w:top w:val="nil"/>
              <w:bottom w:val="single" w:sz="4" w:space="0" w:color="auto"/>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tcPr>
          <w:p w:rsidR="009B327D" w:rsidRPr="002341C3" w:rsidRDefault="009B327D">
            <w:pPr>
              <w:widowControl/>
              <w:autoSpaceDE/>
              <w:autoSpaceDN/>
              <w:adjustRightInd/>
            </w:pPr>
          </w:p>
        </w:tc>
      </w:tr>
    </w:tbl>
    <w:p w:rsidR="009B327D" w:rsidRDefault="009B327D"/>
    <w:tbl>
      <w:tblPr>
        <w:tblW w:w="9997" w:type="dxa"/>
        <w:tblInd w:w="2" w:type="dxa"/>
        <w:tblBorders>
          <w:top w:val="single" w:sz="4" w:space="0" w:color="auto"/>
          <w:left w:val="single" w:sz="4" w:space="0" w:color="auto"/>
          <w:bottom w:val="single" w:sz="4" w:space="0" w:color="auto"/>
          <w:right w:val="single" w:sz="4" w:space="0" w:color="auto"/>
        </w:tblBorders>
        <w:tblLook w:val="0000"/>
      </w:tblPr>
      <w:tblGrid>
        <w:gridCol w:w="1672"/>
        <w:gridCol w:w="1405"/>
        <w:gridCol w:w="3460"/>
        <w:gridCol w:w="1560"/>
        <w:gridCol w:w="1900"/>
      </w:tblGrid>
      <w:tr w:rsidR="009B327D" w:rsidRPr="002341C3">
        <w:trPr>
          <w:trHeight w:val="1785"/>
        </w:trPr>
        <w:tc>
          <w:tcPr>
            <w:tcW w:w="1672" w:type="dxa"/>
            <w:tcBorders>
              <w:top w:val="single" w:sz="4" w:space="0" w:color="auto"/>
              <w:bottom w:val="nil"/>
              <w:right w:val="single" w:sz="4" w:space="0" w:color="auto"/>
            </w:tcBorders>
          </w:tcPr>
          <w:p w:rsidR="009B327D" w:rsidRPr="002341C3" w:rsidRDefault="009B327D">
            <w:pPr>
              <w:widowControl/>
              <w:autoSpaceDE/>
              <w:autoSpaceDN/>
              <w:adjustRightInd/>
              <w:rPr>
                <w:b/>
                <w:bCs/>
              </w:rPr>
            </w:pPr>
            <w:r w:rsidRPr="002341C3">
              <w:rPr>
                <w:b/>
                <w:bCs/>
              </w:rPr>
              <w:t>Hailong Zhang</w:t>
            </w:r>
          </w:p>
        </w:tc>
        <w:tc>
          <w:tcPr>
            <w:tcW w:w="1405"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 xml:space="preserve">"Site-Specific and Biocompatible Immobilization of Biomolecules through Staudinger Ligation and PEG Chemistry," </w:t>
            </w:r>
            <w:r w:rsidRPr="002341C3">
              <w:rPr>
                <w:i/>
                <w:iCs/>
              </w:rPr>
              <w:t>236th ACS National Meeting at Biological Chemistry BIOL-86</w:t>
            </w:r>
            <w:r w:rsidRPr="002341C3">
              <w:t xml:space="preserve">, Philadelphia, PA. August 17-21, </w:t>
            </w:r>
            <w:r w:rsidRPr="002341C3">
              <w:rPr>
                <w:b/>
                <w:bCs/>
              </w:rPr>
              <w:t>2008</w:t>
            </w:r>
          </w:p>
        </w:tc>
        <w:tc>
          <w:tcPr>
            <w:tcW w:w="1560" w:type="dxa"/>
            <w:tcBorders>
              <w:top w:val="single" w:sz="4" w:space="0" w:color="auto"/>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nil"/>
            </w:tcBorders>
          </w:tcPr>
          <w:p w:rsidR="009B327D" w:rsidRPr="002341C3" w:rsidRDefault="009B327D">
            <w:pPr>
              <w:widowControl/>
              <w:autoSpaceDE/>
              <w:autoSpaceDN/>
              <w:adjustRightInd/>
            </w:pPr>
            <w:r w:rsidRPr="002341C3">
              <w:t xml:space="preserve">"Recent Carbohydrate Recognition-Based Targeted Drug/Gene Delivery," </w:t>
            </w:r>
            <w:r w:rsidRPr="002341C3">
              <w:rPr>
                <w:i/>
                <w:iCs/>
              </w:rPr>
              <w:t xml:space="preserve">Medicinal Research Review. Accepted, </w:t>
            </w:r>
            <w:r w:rsidRPr="002341C3">
              <w:rPr>
                <w:b/>
                <w:bCs/>
              </w:rPr>
              <w:t>2009</w:t>
            </w:r>
          </w:p>
        </w:tc>
      </w:tr>
      <w:tr w:rsidR="009B327D" w:rsidRPr="002341C3">
        <w:trPr>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854"/>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"Site-Specific and Biocompatible Glycol-Functionalization of Liposome through Staudinger Ligation," </w:t>
            </w:r>
            <w:r w:rsidRPr="002341C3">
              <w:rPr>
                <w:i/>
                <w:iCs/>
              </w:rPr>
              <w:t>4</w:t>
            </w:r>
            <w:r w:rsidRPr="002341C3">
              <w:rPr>
                <w:i/>
                <w:iCs/>
                <w:vertAlign w:val="superscript"/>
              </w:rPr>
              <w:t>th</w:t>
            </w:r>
            <w:r w:rsidRPr="002341C3">
              <w:rPr>
                <w:i/>
                <w:iCs/>
              </w:rPr>
              <w:t xml:space="preserve"> Midwest Carbohydrate and Glycobiology Symposium</w:t>
            </w:r>
            <w:r w:rsidRPr="002341C3">
              <w:t xml:space="preserve">, Cleveland, OH, October 3-4, </w:t>
            </w:r>
            <w:r w:rsidRPr="002341C3">
              <w:rPr>
                <w:b/>
                <w:bCs/>
              </w:rPr>
              <w:t>2008</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r w:rsidRPr="002341C3">
              <w:t xml:space="preserve">"Chemical Selective Surface Glycol-Functionalization of Liposome through Staudinger Ligation," </w:t>
            </w:r>
            <w:r w:rsidRPr="002341C3">
              <w:rPr>
                <w:i/>
                <w:iCs/>
              </w:rPr>
              <w:t>Chem. Communications.</w:t>
            </w:r>
            <w:r w:rsidRPr="002341C3">
              <w:t xml:space="preserve"> </w:t>
            </w:r>
            <w:r w:rsidRPr="002341C3">
              <w:rPr>
                <w:i/>
                <w:iCs/>
              </w:rPr>
              <w:t>In press</w:t>
            </w:r>
            <w:r w:rsidRPr="002341C3">
              <w:t xml:space="preserve">, </w:t>
            </w:r>
            <w:r w:rsidRPr="002341C3">
              <w:rPr>
                <w:b/>
                <w:bCs/>
              </w:rPr>
              <w:t xml:space="preserve">2009 </w:t>
            </w:r>
          </w:p>
        </w:tc>
      </w:tr>
      <w:tr w:rsidR="009B327D" w:rsidRPr="002341C3">
        <w:trPr>
          <w:trHeight w:val="1530"/>
        </w:trPr>
        <w:tc>
          <w:tcPr>
            <w:tcW w:w="1672" w:type="dxa"/>
            <w:tcBorders>
              <w:top w:val="nil"/>
              <w:bottom w:val="nil"/>
              <w:right w:val="single" w:sz="4" w:space="0" w:color="auto"/>
            </w:tcBorders>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"Exploring Staudinger Ligation Method for Chemical Selective Liposome Surface Functionalization," American Chemical Society M</w:t>
            </w:r>
            <w:r w:rsidRPr="002341C3">
              <w:rPr>
                <w:i/>
                <w:iCs/>
              </w:rPr>
              <w:t>eeting-in-Miniature</w:t>
            </w:r>
            <w:r w:rsidRPr="002341C3">
              <w:t xml:space="preserve">, Biochemistry Session, P9, Cleveland, OH. March 19, </w:t>
            </w:r>
            <w:r w:rsidRPr="002341C3">
              <w:rPr>
                <w:b/>
                <w:bCs/>
              </w:rPr>
              <w:t>2009</w:t>
            </w:r>
            <w:r w:rsidRPr="002341C3">
              <w:t>.</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76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"Synthesis and Characterization of Surface Immobilized Liposome, " American Chemical Society </w:t>
            </w:r>
            <w:r w:rsidRPr="002341C3">
              <w:rPr>
                <w:i/>
                <w:iCs/>
              </w:rPr>
              <w:t>Meeting-in-Miniature</w:t>
            </w:r>
            <w:r w:rsidRPr="002341C3">
              <w:t xml:space="preserve">, Biochemistry Session, P8, Cleveland, OH. March 19, </w:t>
            </w:r>
            <w:r w:rsidRPr="002341C3">
              <w:rPr>
                <w:b/>
                <w:bCs/>
              </w:rPr>
              <w:t>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197"/>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"Chemical Selective Liposome Surface Functionalization and Its Characterization,"  </w:t>
            </w:r>
            <w:r w:rsidRPr="002341C3">
              <w:rPr>
                <w:i/>
                <w:iCs/>
              </w:rPr>
              <w:t>College of Science Research Day , University,</w:t>
            </w:r>
            <w:r w:rsidRPr="002341C3">
              <w:t xml:space="preserve"> Cleveland, OH. April 24, </w:t>
            </w:r>
            <w:r w:rsidRPr="002341C3">
              <w:rPr>
                <w:b/>
                <w:bCs/>
              </w:rPr>
              <w:t>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76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"Liposome Immobilization and Characterization," </w:t>
            </w:r>
            <w:r w:rsidRPr="002341C3">
              <w:rPr>
                <w:i/>
                <w:iCs/>
              </w:rPr>
              <w:t xml:space="preserve">College of Science Research Day , </w:t>
            </w:r>
            <w:r w:rsidRPr="002341C3">
              <w:t xml:space="preserve">April 24, </w:t>
            </w:r>
            <w:r w:rsidRPr="002341C3">
              <w:rPr>
                <w:b/>
                <w:bCs/>
              </w:rPr>
              <w:t>2009</w:t>
            </w: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255"/>
        </w:trPr>
        <w:tc>
          <w:tcPr>
            <w:tcW w:w="1672" w:type="dxa"/>
            <w:tcBorders>
              <w:top w:val="nil"/>
              <w:bottom w:val="nil"/>
              <w:right w:val="single" w:sz="4" w:space="0" w:color="auto"/>
            </w:tcBorders>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tcPr>
          <w:p w:rsidR="009B327D" w:rsidRPr="002341C3" w:rsidRDefault="009B327D">
            <w:pPr>
              <w:widowControl/>
              <w:autoSpaceDE/>
              <w:autoSpaceDN/>
              <w:adjustRightInd/>
            </w:pPr>
          </w:p>
        </w:tc>
        <w:tc>
          <w:tcPr>
            <w:tcW w:w="1900" w:type="dxa"/>
            <w:tcBorders>
              <w:top w:val="nil"/>
              <w:left w:val="single" w:sz="4" w:space="0" w:color="auto"/>
              <w:bottom w:val="nil"/>
            </w:tcBorders>
          </w:tcPr>
          <w:p w:rsidR="009B327D" w:rsidRPr="002341C3" w:rsidRDefault="009B327D">
            <w:pPr>
              <w:widowControl/>
              <w:autoSpaceDE/>
              <w:autoSpaceDN/>
              <w:adjustRightInd/>
            </w:pPr>
          </w:p>
        </w:tc>
      </w:tr>
      <w:tr w:rsidR="009B327D" w:rsidRPr="002341C3">
        <w:trPr>
          <w:trHeight w:val="1611"/>
        </w:trPr>
        <w:tc>
          <w:tcPr>
            <w:tcW w:w="1672" w:type="dxa"/>
            <w:tcBorders>
              <w:top w:val="nil"/>
              <w:bottom w:val="nil"/>
              <w:right w:val="single" w:sz="4" w:space="0" w:color="auto"/>
            </w:tcBorders>
            <w:noWrap/>
          </w:tcPr>
          <w:p w:rsidR="009B327D" w:rsidRPr="002341C3" w:rsidRDefault="009B327D">
            <w:pPr>
              <w:widowControl/>
              <w:autoSpaceDE/>
              <w:autoSpaceDN/>
              <w:adjustRightInd/>
              <w:rPr>
                <w:b/>
                <w:bCs/>
              </w:rPr>
            </w:pPr>
          </w:p>
        </w:tc>
        <w:tc>
          <w:tcPr>
            <w:tcW w:w="1405" w:type="dxa"/>
            <w:tcBorders>
              <w:top w:val="nil"/>
              <w:left w:val="single" w:sz="4" w:space="0" w:color="auto"/>
              <w:bottom w:val="nil"/>
              <w:right w:val="single" w:sz="4" w:space="0" w:color="auto"/>
            </w:tcBorders>
            <w:noWrap/>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tcPr>
          <w:p w:rsidR="009B327D" w:rsidRPr="002341C3" w:rsidRDefault="009B327D">
            <w:pPr>
              <w:widowControl/>
              <w:autoSpaceDE/>
              <w:autoSpaceDN/>
              <w:adjustRightInd/>
            </w:pPr>
            <w:r w:rsidRPr="002341C3">
              <w:t xml:space="preserve">"Immobilization and Characterization of Intact Liposome onto Substrate Surface," </w:t>
            </w:r>
            <w:r w:rsidRPr="002341C3">
              <w:rPr>
                <w:i/>
                <w:iCs/>
              </w:rPr>
              <w:t>2009 Central Regional Meeting of the ACS</w:t>
            </w:r>
            <w:r w:rsidRPr="002341C3">
              <w:t xml:space="preserve">, Section of Organic Chemistry: Nucleic Acids, Peptides, and Glycans. Cleveland, OH, May 20-23, </w:t>
            </w:r>
            <w:r w:rsidRPr="002341C3">
              <w:rPr>
                <w:b/>
                <w:bCs/>
              </w:rPr>
              <w:t>2009</w:t>
            </w:r>
          </w:p>
        </w:tc>
        <w:tc>
          <w:tcPr>
            <w:tcW w:w="1560" w:type="dxa"/>
            <w:tcBorders>
              <w:top w:val="nil"/>
              <w:left w:val="single" w:sz="4" w:space="0" w:color="auto"/>
              <w:bottom w:val="nil"/>
              <w:right w:val="single" w:sz="4" w:space="0" w:color="auto"/>
            </w:tcBorders>
            <w:noWrap/>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noWrap/>
          </w:tcPr>
          <w:p w:rsidR="009B327D" w:rsidRPr="002341C3" w:rsidRDefault="009B327D">
            <w:pPr>
              <w:widowControl/>
              <w:autoSpaceDE/>
              <w:autoSpaceDN/>
              <w:adjustRightInd/>
            </w:pPr>
          </w:p>
        </w:tc>
      </w:tr>
      <w:tr w:rsidR="009B327D" w:rsidRPr="002341C3">
        <w:trPr>
          <w:trHeight w:val="255"/>
        </w:trPr>
        <w:tc>
          <w:tcPr>
            <w:tcW w:w="1672" w:type="dxa"/>
            <w:tcBorders>
              <w:top w:val="nil"/>
              <w:bottom w:val="nil"/>
              <w:right w:val="single" w:sz="4" w:space="0" w:color="auto"/>
            </w:tcBorders>
            <w:noWrap/>
          </w:tcPr>
          <w:p w:rsidR="009B327D" w:rsidRPr="002341C3" w:rsidRDefault="009B327D">
            <w:pPr>
              <w:widowControl/>
              <w:autoSpaceDE/>
              <w:autoSpaceDN/>
              <w:adjustRightInd/>
            </w:pPr>
          </w:p>
        </w:tc>
        <w:tc>
          <w:tcPr>
            <w:tcW w:w="1405" w:type="dxa"/>
            <w:tcBorders>
              <w:top w:val="nil"/>
              <w:left w:val="single" w:sz="4" w:space="0" w:color="auto"/>
              <w:bottom w:val="nil"/>
              <w:right w:val="single" w:sz="4" w:space="0" w:color="auto"/>
            </w:tcBorders>
            <w:noWrap/>
          </w:tcPr>
          <w:p w:rsidR="009B327D" w:rsidRPr="002341C3" w:rsidRDefault="009B327D">
            <w:pPr>
              <w:widowControl/>
              <w:autoSpaceDE/>
              <w:autoSpaceDN/>
              <w:adjustRightInd/>
            </w:pPr>
          </w:p>
        </w:tc>
        <w:tc>
          <w:tcPr>
            <w:tcW w:w="3460" w:type="dxa"/>
            <w:tcBorders>
              <w:top w:val="nil"/>
              <w:left w:val="single" w:sz="4" w:space="0" w:color="auto"/>
              <w:bottom w:val="nil"/>
              <w:right w:val="single" w:sz="4" w:space="0" w:color="auto"/>
            </w:tcBorders>
            <w:noWrap/>
          </w:tcPr>
          <w:p w:rsidR="009B327D" w:rsidRPr="002341C3" w:rsidRDefault="009B327D">
            <w:pPr>
              <w:widowControl/>
              <w:autoSpaceDE/>
              <w:autoSpaceDN/>
              <w:adjustRightInd/>
            </w:pPr>
          </w:p>
        </w:tc>
        <w:tc>
          <w:tcPr>
            <w:tcW w:w="1560" w:type="dxa"/>
            <w:tcBorders>
              <w:top w:val="nil"/>
              <w:left w:val="single" w:sz="4" w:space="0" w:color="auto"/>
              <w:bottom w:val="nil"/>
              <w:right w:val="single" w:sz="4" w:space="0" w:color="auto"/>
            </w:tcBorders>
            <w:noWrap/>
          </w:tcPr>
          <w:p w:rsidR="009B327D" w:rsidRPr="002341C3" w:rsidRDefault="009B327D">
            <w:pPr>
              <w:widowControl/>
              <w:autoSpaceDE/>
              <w:autoSpaceDN/>
              <w:adjustRightInd/>
            </w:pPr>
            <w:r w:rsidRPr="002341C3">
              <w:t>poster</w:t>
            </w:r>
          </w:p>
        </w:tc>
        <w:tc>
          <w:tcPr>
            <w:tcW w:w="1900" w:type="dxa"/>
            <w:tcBorders>
              <w:top w:val="nil"/>
              <w:left w:val="single" w:sz="4" w:space="0" w:color="auto"/>
              <w:bottom w:val="nil"/>
            </w:tcBorders>
            <w:noWrap/>
          </w:tcPr>
          <w:p w:rsidR="009B327D" w:rsidRPr="002341C3" w:rsidRDefault="009B327D">
            <w:pPr>
              <w:widowControl/>
              <w:autoSpaceDE/>
              <w:autoSpaceDN/>
              <w:adjustRightInd/>
            </w:pPr>
          </w:p>
        </w:tc>
      </w:tr>
      <w:tr w:rsidR="009B327D" w:rsidRPr="002341C3">
        <w:trPr>
          <w:trHeight w:val="1785"/>
        </w:trPr>
        <w:tc>
          <w:tcPr>
            <w:tcW w:w="1672" w:type="dxa"/>
            <w:tcBorders>
              <w:top w:val="nil"/>
              <w:bottom w:val="nil"/>
              <w:right w:val="single" w:sz="4" w:space="0" w:color="auto"/>
            </w:tcBorders>
            <w:noWrap/>
          </w:tcPr>
          <w:p w:rsidR="009B327D" w:rsidRPr="002341C3" w:rsidRDefault="009B327D">
            <w:pPr>
              <w:widowControl/>
              <w:autoSpaceDE/>
              <w:autoSpaceDN/>
              <w:adjustRightInd/>
              <w:rPr>
                <w:b/>
                <w:bCs/>
              </w:rPr>
            </w:pPr>
          </w:p>
        </w:tc>
        <w:tc>
          <w:tcPr>
            <w:tcW w:w="1405" w:type="dxa"/>
            <w:tcBorders>
              <w:top w:val="nil"/>
              <w:left w:val="single" w:sz="4" w:space="0" w:color="auto"/>
              <w:bottom w:val="single" w:sz="4" w:space="0" w:color="auto"/>
              <w:right w:val="single" w:sz="4" w:space="0" w:color="auto"/>
            </w:tcBorders>
            <w:noWrap/>
          </w:tcPr>
          <w:p w:rsidR="009B327D" w:rsidRPr="002341C3" w:rsidRDefault="009B327D">
            <w:pPr>
              <w:widowControl/>
              <w:autoSpaceDE/>
              <w:autoSpaceDN/>
              <w:adjustRightInd/>
            </w:pPr>
          </w:p>
        </w:tc>
        <w:tc>
          <w:tcPr>
            <w:tcW w:w="3460" w:type="dxa"/>
            <w:tcBorders>
              <w:top w:val="nil"/>
              <w:left w:val="single" w:sz="4" w:space="0" w:color="auto"/>
              <w:bottom w:val="single" w:sz="4" w:space="0" w:color="auto"/>
              <w:right w:val="single" w:sz="4" w:space="0" w:color="auto"/>
            </w:tcBorders>
          </w:tcPr>
          <w:p w:rsidR="009B327D" w:rsidRPr="002341C3" w:rsidRDefault="009B327D">
            <w:pPr>
              <w:widowControl/>
              <w:autoSpaceDE/>
              <w:autoSpaceDN/>
              <w:adjustRightInd/>
            </w:pPr>
            <w:r w:rsidRPr="002341C3">
              <w:t xml:space="preserve">"Chemical Selective Liposome Surface Functionalization through Staudinger ligation," </w:t>
            </w:r>
            <w:r w:rsidRPr="002341C3">
              <w:rPr>
                <w:i/>
                <w:iCs/>
              </w:rPr>
              <w:t>2009 Central Regional Meeting of the ACS</w:t>
            </w:r>
            <w:r w:rsidRPr="002341C3">
              <w:t xml:space="preserve">, Section of Organic Chemistry: Nucleic Acids, Peptides, and Glycans. Cleveland, OH, May 20-23, </w:t>
            </w:r>
            <w:r w:rsidRPr="002341C3">
              <w:rPr>
                <w:b/>
                <w:bCs/>
              </w:rPr>
              <w:t>2009</w:t>
            </w:r>
          </w:p>
        </w:tc>
        <w:tc>
          <w:tcPr>
            <w:tcW w:w="1560" w:type="dxa"/>
            <w:tcBorders>
              <w:top w:val="nil"/>
              <w:left w:val="single" w:sz="4" w:space="0" w:color="auto"/>
              <w:bottom w:val="single" w:sz="4" w:space="0" w:color="auto"/>
              <w:right w:val="single" w:sz="4" w:space="0" w:color="auto"/>
            </w:tcBorders>
            <w:noWrap/>
            <w:vAlign w:val="bottom"/>
          </w:tcPr>
          <w:p w:rsidR="009B327D" w:rsidRPr="002341C3" w:rsidRDefault="009B327D">
            <w:pPr>
              <w:widowControl/>
              <w:autoSpaceDE/>
              <w:autoSpaceDN/>
              <w:adjustRightInd/>
            </w:pPr>
          </w:p>
        </w:tc>
        <w:tc>
          <w:tcPr>
            <w:tcW w:w="1900" w:type="dxa"/>
            <w:tcBorders>
              <w:top w:val="nil"/>
              <w:left w:val="single" w:sz="4" w:space="0" w:color="auto"/>
              <w:bottom w:val="single" w:sz="4" w:space="0" w:color="auto"/>
            </w:tcBorders>
            <w:noWrap/>
          </w:tcPr>
          <w:p w:rsidR="009B327D" w:rsidRPr="002341C3" w:rsidRDefault="009B327D">
            <w:pPr>
              <w:widowControl/>
              <w:autoSpaceDE/>
              <w:autoSpaceDN/>
              <w:adjustRightInd/>
            </w:pPr>
          </w:p>
        </w:tc>
      </w:tr>
      <w:tr w:rsidR="009B327D" w:rsidRPr="002341C3">
        <w:trPr>
          <w:trHeight w:val="1275"/>
        </w:trPr>
        <w:tc>
          <w:tcPr>
            <w:tcW w:w="1672" w:type="dxa"/>
            <w:tcBorders>
              <w:top w:val="nil"/>
              <w:bottom w:val="single" w:sz="4" w:space="0" w:color="auto"/>
              <w:right w:val="single" w:sz="4" w:space="0" w:color="auto"/>
            </w:tcBorders>
            <w:noWrap/>
          </w:tcPr>
          <w:p w:rsidR="009B327D" w:rsidRPr="002341C3" w:rsidRDefault="009B327D">
            <w:pPr>
              <w:widowControl/>
              <w:autoSpaceDE/>
              <w:autoSpaceDN/>
              <w:adjustRightInd/>
              <w:rPr>
                <w:b/>
                <w:bCs/>
              </w:rPr>
            </w:pPr>
          </w:p>
        </w:tc>
        <w:tc>
          <w:tcPr>
            <w:tcW w:w="1405" w:type="dxa"/>
            <w:tcBorders>
              <w:top w:val="single" w:sz="4" w:space="0" w:color="auto"/>
              <w:left w:val="single" w:sz="4" w:space="0" w:color="auto"/>
              <w:bottom w:val="single" w:sz="4" w:space="0" w:color="auto"/>
              <w:right w:val="single" w:sz="4" w:space="0" w:color="auto"/>
            </w:tcBorders>
            <w:noWrap/>
          </w:tcPr>
          <w:p w:rsidR="009B327D" w:rsidRPr="002341C3" w:rsidRDefault="009B327D">
            <w:pPr>
              <w:widowControl/>
              <w:autoSpaceDE/>
              <w:autoSpaceDN/>
              <w:adjustRightInd/>
            </w:pPr>
          </w:p>
        </w:tc>
        <w:tc>
          <w:tcPr>
            <w:tcW w:w="3460" w:type="dxa"/>
            <w:tcBorders>
              <w:top w:val="single" w:sz="4" w:space="0" w:color="auto"/>
              <w:left w:val="single" w:sz="4" w:space="0" w:color="auto"/>
              <w:bottom w:val="single" w:sz="4" w:space="0" w:color="auto"/>
              <w:right w:val="single" w:sz="4" w:space="0" w:color="auto"/>
            </w:tcBorders>
          </w:tcPr>
          <w:p w:rsidR="009B327D" w:rsidRPr="002341C3" w:rsidRDefault="009B327D">
            <w:pPr>
              <w:widowControl/>
              <w:autoSpaceDE/>
              <w:autoSpaceDN/>
              <w:adjustRightInd/>
            </w:pPr>
            <w:r w:rsidRPr="002341C3">
              <w:t>"Chemical Selective Liposome Surface Functionalization and Immobilization, "</w:t>
            </w:r>
            <w:r w:rsidRPr="002341C3">
              <w:rPr>
                <w:i/>
                <w:iCs/>
              </w:rPr>
              <w:t>237th ACS National Meeting at Biological Chemistry</w:t>
            </w:r>
            <w:r w:rsidRPr="002341C3">
              <w:t>, Washington, DC, August 16-20,</w:t>
            </w:r>
            <w:r w:rsidRPr="002341C3">
              <w:rPr>
                <w:b/>
                <w:bCs/>
              </w:rPr>
              <w:t xml:space="preserve"> 2009</w:t>
            </w:r>
          </w:p>
        </w:tc>
        <w:tc>
          <w:tcPr>
            <w:tcW w:w="1560" w:type="dxa"/>
            <w:tcBorders>
              <w:top w:val="single" w:sz="4" w:space="0" w:color="auto"/>
              <w:left w:val="single" w:sz="4" w:space="0" w:color="auto"/>
              <w:bottom w:val="single" w:sz="4" w:space="0" w:color="auto"/>
              <w:right w:val="single" w:sz="4" w:space="0" w:color="auto"/>
            </w:tcBorders>
            <w:noWrap/>
          </w:tcPr>
          <w:p w:rsidR="009B327D" w:rsidRPr="002341C3" w:rsidRDefault="009B327D">
            <w:pPr>
              <w:widowControl/>
              <w:autoSpaceDE/>
              <w:autoSpaceDN/>
              <w:adjustRightInd/>
            </w:pPr>
            <w:r w:rsidRPr="002341C3">
              <w:t>poster</w:t>
            </w:r>
          </w:p>
        </w:tc>
        <w:tc>
          <w:tcPr>
            <w:tcW w:w="1900" w:type="dxa"/>
            <w:tcBorders>
              <w:top w:val="single" w:sz="4" w:space="0" w:color="auto"/>
              <w:left w:val="single" w:sz="4" w:space="0" w:color="auto"/>
              <w:bottom w:val="single" w:sz="4" w:space="0" w:color="auto"/>
            </w:tcBorders>
            <w:noWrap/>
          </w:tcPr>
          <w:p w:rsidR="009B327D" w:rsidRPr="002341C3" w:rsidRDefault="009B327D">
            <w:pPr>
              <w:widowControl/>
              <w:autoSpaceDE/>
              <w:autoSpaceDN/>
              <w:adjustRightInd/>
            </w:pPr>
          </w:p>
        </w:tc>
      </w:tr>
    </w:tbl>
    <w:p w:rsidR="009B327D" w:rsidRDefault="009B32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p>
    <w:sectPr w:rsidR="009B327D" w:rsidSect="00A715D2">
      <w:footerReference w:type="even" r:id="rId7"/>
      <w:footerReference w:type="default" r:id="rId8"/>
      <w:type w:val="continuous"/>
      <w:pgSz w:w="12240" w:h="15840"/>
      <w:pgMar w:top="720" w:right="1440" w:bottom="720" w:left="144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27D" w:rsidRDefault="009B327D">
      <w:r>
        <w:separator/>
      </w:r>
    </w:p>
  </w:endnote>
  <w:endnote w:type="continuationSeparator" w:id="0">
    <w:p w:rsidR="009B327D" w:rsidRDefault="009B32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27D" w:rsidRDefault="009B327D" w:rsidP="00C914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327D" w:rsidRDefault="009B327D" w:rsidP="00A80D3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27D" w:rsidRDefault="009B327D" w:rsidP="00C914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9B327D" w:rsidRDefault="009B327D" w:rsidP="00A80D3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27D" w:rsidRDefault="009B327D">
      <w:r>
        <w:separator/>
      </w:r>
    </w:p>
  </w:footnote>
  <w:footnote w:type="continuationSeparator" w:id="0">
    <w:p w:rsidR="009B327D" w:rsidRDefault="009B32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5"/>
  <w:embedSystemFonts/>
  <w:bordersDoNotSurroundHeader/>
  <w:bordersDoNotSurroundFooter/>
  <w:defaultTabStop w:val="720"/>
  <w:hyphenationZone w:val="914"/>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15D2"/>
    <w:rsid w:val="00117061"/>
    <w:rsid w:val="002341C3"/>
    <w:rsid w:val="007677BB"/>
    <w:rsid w:val="009B327D"/>
    <w:rsid w:val="00A715D2"/>
    <w:rsid w:val="00A80D34"/>
    <w:rsid w:val="00BC3578"/>
    <w:rsid w:val="00C87DC6"/>
    <w:rsid w:val="00C914C3"/>
    <w:rsid w:val="00CF263F"/>
    <w:rsid w:val="00E33369"/>
    <w:rsid w:val="00F557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677BB"/>
    <w:pPr>
      <w:widowControl w:val="0"/>
      <w:autoSpaceDE w:val="0"/>
      <w:autoSpaceDN w:val="0"/>
      <w:adjustRightInd w:val="0"/>
    </w:pPr>
    <w:rPr>
      <w:rFonts w:ascii="Times New Roman" w:hAnsi="Times New Roman"/>
      <w:sz w:val="20"/>
      <w:szCs w:val="20"/>
    </w:rPr>
  </w:style>
  <w:style w:type="paragraph" w:styleId="Heading3">
    <w:name w:val="heading 3"/>
    <w:basedOn w:val="Normal"/>
    <w:next w:val="Normal"/>
    <w:link w:val="Heading3Char"/>
    <w:uiPriority w:val="99"/>
    <w:qFormat/>
    <w:rsid w:val="007677BB"/>
    <w:pPr>
      <w:keepNext/>
      <w:widowControl/>
      <w:autoSpaceDE/>
      <w:autoSpaceDN/>
      <w:adjustRightInd/>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7677BB"/>
    <w:rPr>
      <w:rFonts w:ascii="Arial" w:hAnsi="Arial" w:cs="Arial"/>
      <w:b/>
      <w:bCs/>
      <w:sz w:val="26"/>
      <w:szCs w:val="26"/>
      <w:lang w:val="en-US" w:eastAsia="en-US"/>
    </w:rPr>
  </w:style>
  <w:style w:type="paragraph" w:styleId="BalloonText">
    <w:name w:val="Balloon Text"/>
    <w:basedOn w:val="Normal"/>
    <w:link w:val="BalloonTextChar"/>
    <w:uiPriority w:val="99"/>
    <w:rsid w:val="007677BB"/>
    <w:rPr>
      <w:rFonts w:ascii="Tahoma" w:hAnsi="Tahoma" w:cs="Tahoma"/>
      <w:sz w:val="16"/>
      <w:szCs w:val="16"/>
    </w:rPr>
  </w:style>
  <w:style w:type="character" w:customStyle="1" w:styleId="BalloonTextChar">
    <w:name w:val="Balloon Text Char"/>
    <w:basedOn w:val="DefaultParagraphFont"/>
    <w:link w:val="BalloonText"/>
    <w:uiPriority w:val="99"/>
    <w:locked/>
    <w:rsid w:val="007677BB"/>
    <w:rPr>
      <w:rFonts w:ascii="Tahoma" w:hAnsi="Tahoma" w:cs="Tahoma"/>
      <w:sz w:val="16"/>
      <w:szCs w:val="16"/>
    </w:rPr>
  </w:style>
  <w:style w:type="paragraph" w:customStyle="1" w:styleId="26">
    <w:name w:val="_26"/>
    <w:uiPriority w:val="99"/>
    <w:rsid w:val="007677BB"/>
    <w:pPr>
      <w:widowControl w:val="0"/>
      <w:autoSpaceDE w:val="0"/>
      <w:autoSpaceDN w:val="0"/>
      <w:adjustRightInd w:val="0"/>
      <w:jc w:val="both"/>
    </w:pPr>
    <w:rPr>
      <w:rFonts w:ascii="Times New Roman" w:hAnsi="Times New Roman"/>
      <w:sz w:val="24"/>
      <w:szCs w:val="24"/>
    </w:rPr>
  </w:style>
  <w:style w:type="paragraph" w:customStyle="1" w:styleId="25">
    <w:name w:val="_25"/>
    <w:uiPriority w:val="99"/>
    <w:rsid w:val="007677B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rsid w:val="007677B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23">
    <w:name w:val="_23"/>
    <w:uiPriority w:val="99"/>
    <w:rsid w:val="007677B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22">
    <w:name w:val="_22"/>
    <w:uiPriority w:val="99"/>
    <w:rsid w:val="007677B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21">
    <w:name w:val="_21"/>
    <w:uiPriority w:val="99"/>
    <w:rsid w:val="007677B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0">
    <w:name w:val="_20"/>
    <w:uiPriority w:val="99"/>
    <w:rsid w:val="007677BB"/>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9">
    <w:name w:val="_19"/>
    <w:uiPriority w:val="99"/>
    <w:rsid w:val="007677BB"/>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18">
    <w:name w:val="_18"/>
    <w:uiPriority w:val="99"/>
    <w:rsid w:val="007677BB"/>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17">
    <w:name w:val="_17"/>
    <w:uiPriority w:val="99"/>
    <w:rsid w:val="007677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16">
    <w:name w:val="_16"/>
    <w:uiPriority w:val="99"/>
    <w:rsid w:val="007677B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rsid w:val="007677B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14">
    <w:name w:val="_14"/>
    <w:uiPriority w:val="99"/>
    <w:rsid w:val="007677B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13">
    <w:name w:val="_13"/>
    <w:uiPriority w:val="99"/>
    <w:rsid w:val="007677B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12">
    <w:name w:val="_12"/>
    <w:uiPriority w:val="99"/>
    <w:rsid w:val="007677B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11">
    <w:name w:val="_11"/>
    <w:uiPriority w:val="99"/>
    <w:rsid w:val="007677BB"/>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0">
    <w:name w:val="_10"/>
    <w:uiPriority w:val="99"/>
    <w:rsid w:val="007677BB"/>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9">
    <w:name w:val="_9"/>
    <w:uiPriority w:val="99"/>
    <w:rsid w:val="007677BB"/>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8">
    <w:name w:val="_8"/>
    <w:uiPriority w:val="99"/>
    <w:rsid w:val="007677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7">
    <w:name w:val="_7"/>
    <w:uiPriority w:val="99"/>
    <w:rsid w:val="007677B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rsid w:val="007677BB"/>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5">
    <w:name w:val="_5"/>
    <w:uiPriority w:val="99"/>
    <w:rsid w:val="007677BB"/>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4">
    <w:name w:val="_4"/>
    <w:uiPriority w:val="99"/>
    <w:rsid w:val="007677BB"/>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3">
    <w:name w:val="_3"/>
    <w:uiPriority w:val="99"/>
    <w:rsid w:val="007677BB"/>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
    <w:name w:val="_2"/>
    <w:uiPriority w:val="99"/>
    <w:rsid w:val="007677BB"/>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
    <w:name w:val="_1"/>
    <w:uiPriority w:val="99"/>
    <w:rsid w:val="007677BB"/>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a">
    <w:name w:val="_"/>
    <w:uiPriority w:val="99"/>
    <w:rsid w:val="007677BB"/>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character" w:customStyle="1" w:styleId="DefaultPara">
    <w:name w:val="Default Para"/>
    <w:uiPriority w:val="99"/>
    <w:rsid w:val="007677BB"/>
  </w:style>
  <w:style w:type="paragraph" w:styleId="DocumentMap">
    <w:name w:val="Document Map"/>
    <w:basedOn w:val="Normal"/>
    <w:link w:val="DocumentMapChar"/>
    <w:uiPriority w:val="99"/>
    <w:rsid w:val="007677BB"/>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7677BB"/>
    <w:rPr>
      <w:rFonts w:ascii="Tahoma" w:hAnsi="Tahoma" w:cs="Tahoma"/>
      <w:sz w:val="16"/>
      <w:szCs w:val="16"/>
    </w:rPr>
  </w:style>
  <w:style w:type="character" w:styleId="CommentReference">
    <w:name w:val="annotation reference"/>
    <w:basedOn w:val="DefaultParagraphFont"/>
    <w:uiPriority w:val="99"/>
    <w:rsid w:val="007677BB"/>
    <w:rPr>
      <w:rFonts w:ascii="Times New Roman" w:hAnsi="Times New Roman" w:cs="Times New Roman"/>
      <w:sz w:val="16"/>
      <w:szCs w:val="16"/>
    </w:rPr>
  </w:style>
  <w:style w:type="paragraph" w:styleId="CommentText">
    <w:name w:val="annotation text"/>
    <w:basedOn w:val="Normal"/>
    <w:link w:val="CommentTextChar"/>
    <w:uiPriority w:val="99"/>
    <w:rsid w:val="007677BB"/>
  </w:style>
  <w:style w:type="character" w:customStyle="1" w:styleId="CommentTextChar">
    <w:name w:val="Comment Text Char"/>
    <w:basedOn w:val="DefaultParagraphFont"/>
    <w:link w:val="CommentText"/>
    <w:uiPriority w:val="99"/>
    <w:locked/>
    <w:rsid w:val="007677B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7677BB"/>
    <w:rPr>
      <w:b/>
      <w:bCs/>
    </w:rPr>
  </w:style>
  <w:style w:type="character" w:customStyle="1" w:styleId="CommentSubjectChar">
    <w:name w:val="Comment Subject Char"/>
    <w:basedOn w:val="CommentTextChar"/>
    <w:link w:val="CommentSubject"/>
    <w:uiPriority w:val="99"/>
    <w:locked/>
    <w:rsid w:val="007677BB"/>
    <w:rPr>
      <w:b/>
      <w:bCs/>
    </w:rPr>
  </w:style>
  <w:style w:type="character" w:styleId="Hyperlink">
    <w:name w:val="Hyperlink"/>
    <w:basedOn w:val="DefaultParagraphFont"/>
    <w:uiPriority w:val="99"/>
    <w:rsid w:val="007677BB"/>
    <w:rPr>
      <w:rFonts w:ascii="Times New Roman" w:hAnsi="Times New Roman" w:cs="Times New Roman"/>
      <w:color w:val="0000FF"/>
      <w:u w:val="single"/>
    </w:rPr>
  </w:style>
  <w:style w:type="character" w:styleId="FollowedHyperlink">
    <w:name w:val="FollowedHyperlink"/>
    <w:basedOn w:val="DefaultParagraphFont"/>
    <w:uiPriority w:val="99"/>
    <w:rsid w:val="007677BB"/>
    <w:rPr>
      <w:rFonts w:ascii="Times New Roman" w:hAnsi="Times New Roman" w:cs="Times New Roman"/>
      <w:color w:val="800080"/>
      <w:u w:val="single"/>
    </w:rPr>
  </w:style>
  <w:style w:type="paragraph" w:customStyle="1" w:styleId="xl65">
    <w:name w:val="xl65"/>
    <w:basedOn w:val="Normal"/>
    <w:uiPriority w:val="99"/>
    <w:rsid w:val="007677BB"/>
    <w:pPr>
      <w:widowControl/>
      <w:pBdr>
        <w:left w:val="double" w:sz="6" w:space="0" w:color="auto"/>
      </w:pBdr>
      <w:autoSpaceDE/>
      <w:autoSpaceDN/>
      <w:adjustRightInd/>
      <w:spacing w:before="100" w:beforeAutospacing="1" w:after="100" w:afterAutospacing="1"/>
    </w:pPr>
    <w:rPr>
      <w:sz w:val="24"/>
      <w:szCs w:val="24"/>
    </w:rPr>
  </w:style>
  <w:style w:type="paragraph" w:customStyle="1" w:styleId="xl66">
    <w:name w:val="xl66"/>
    <w:basedOn w:val="Normal"/>
    <w:uiPriority w:val="99"/>
    <w:rsid w:val="007677BB"/>
    <w:pPr>
      <w:widowControl/>
      <w:pBdr>
        <w:bottom w:val="single" w:sz="4" w:space="0" w:color="auto"/>
        <w:right w:val="single" w:sz="4" w:space="0" w:color="auto"/>
      </w:pBdr>
      <w:autoSpaceDE/>
      <w:autoSpaceDN/>
      <w:adjustRightInd/>
      <w:spacing w:before="100" w:beforeAutospacing="1" w:after="100" w:afterAutospacing="1"/>
      <w:jc w:val="center"/>
    </w:pPr>
    <w:rPr>
      <w:b/>
      <w:bCs/>
      <w:sz w:val="18"/>
      <w:szCs w:val="18"/>
    </w:rPr>
  </w:style>
  <w:style w:type="paragraph" w:customStyle="1" w:styleId="xl67">
    <w:name w:val="xl67"/>
    <w:basedOn w:val="Normal"/>
    <w:uiPriority w:val="99"/>
    <w:rsid w:val="007677BB"/>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b/>
      <w:bCs/>
      <w:sz w:val="18"/>
      <w:szCs w:val="18"/>
    </w:rPr>
  </w:style>
  <w:style w:type="paragraph" w:customStyle="1" w:styleId="xl68">
    <w:name w:val="xl68"/>
    <w:basedOn w:val="Normal"/>
    <w:uiPriority w:val="99"/>
    <w:rsid w:val="007677BB"/>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18"/>
      <w:szCs w:val="18"/>
    </w:rPr>
  </w:style>
  <w:style w:type="paragraph" w:customStyle="1" w:styleId="xl69">
    <w:name w:val="xl69"/>
    <w:basedOn w:val="Normal"/>
    <w:uiPriority w:val="99"/>
    <w:rsid w:val="007677BB"/>
    <w:pPr>
      <w:widowControl/>
      <w:pBdr>
        <w:left w:val="single" w:sz="4" w:space="0" w:color="auto"/>
        <w:bottom w:val="single" w:sz="4" w:space="0" w:color="auto"/>
      </w:pBdr>
      <w:autoSpaceDE/>
      <w:autoSpaceDN/>
      <w:adjustRightInd/>
      <w:spacing w:before="100" w:beforeAutospacing="1" w:after="100" w:afterAutospacing="1"/>
    </w:pPr>
    <w:rPr>
      <w:b/>
      <w:bCs/>
      <w:sz w:val="18"/>
      <w:szCs w:val="18"/>
    </w:rPr>
  </w:style>
  <w:style w:type="paragraph" w:customStyle="1" w:styleId="xl70">
    <w:name w:val="xl70"/>
    <w:basedOn w:val="Normal"/>
    <w:uiPriority w:val="99"/>
    <w:rsid w:val="007677BB"/>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18"/>
      <w:szCs w:val="18"/>
    </w:rPr>
  </w:style>
  <w:style w:type="paragraph" w:customStyle="1" w:styleId="xl71">
    <w:name w:val="xl71"/>
    <w:basedOn w:val="Normal"/>
    <w:uiPriority w:val="99"/>
    <w:rsid w:val="007677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18"/>
      <w:szCs w:val="18"/>
    </w:rPr>
  </w:style>
  <w:style w:type="paragraph" w:customStyle="1" w:styleId="xl72">
    <w:name w:val="xl72"/>
    <w:basedOn w:val="Normal"/>
    <w:uiPriority w:val="99"/>
    <w:rsid w:val="007677B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18"/>
      <w:szCs w:val="18"/>
    </w:rPr>
  </w:style>
  <w:style w:type="paragraph" w:customStyle="1" w:styleId="xl73">
    <w:name w:val="xl73"/>
    <w:basedOn w:val="Normal"/>
    <w:uiPriority w:val="99"/>
    <w:rsid w:val="007677BB"/>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18"/>
      <w:szCs w:val="18"/>
    </w:rPr>
  </w:style>
  <w:style w:type="paragraph" w:customStyle="1" w:styleId="xl74">
    <w:name w:val="xl74"/>
    <w:basedOn w:val="Normal"/>
    <w:uiPriority w:val="99"/>
    <w:rsid w:val="007677BB"/>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18"/>
      <w:szCs w:val="18"/>
    </w:rPr>
  </w:style>
  <w:style w:type="paragraph" w:customStyle="1" w:styleId="xl75">
    <w:name w:val="xl75"/>
    <w:basedOn w:val="Normal"/>
    <w:uiPriority w:val="99"/>
    <w:rsid w:val="007677BB"/>
    <w:pPr>
      <w:widowControl/>
      <w:pBdr>
        <w:top w:val="single" w:sz="4" w:space="0" w:color="auto"/>
        <w:right w:val="single" w:sz="4" w:space="0" w:color="auto"/>
      </w:pBdr>
      <w:autoSpaceDE/>
      <w:autoSpaceDN/>
      <w:adjustRightInd/>
      <w:spacing w:before="100" w:beforeAutospacing="1" w:after="100" w:afterAutospacing="1"/>
      <w:textAlignment w:val="center"/>
    </w:pPr>
    <w:rPr>
      <w:sz w:val="18"/>
      <w:szCs w:val="18"/>
    </w:rPr>
  </w:style>
  <w:style w:type="paragraph" w:customStyle="1" w:styleId="xl76">
    <w:name w:val="xl76"/>
    <w:basedOn w:val="Normal"/>
    <w:uiPriority w:val="99"/>
    <w:rsid w:val="007677BB"/>
    <w:pPr>
      <w:widowControl/>
      <w:pBdr>
        <w:right w:val="single" w:sz="4" w:space="0" w:color="auto"/>
      </w:pBdr>
      <w:autoSpaceDE/>
      <w:autoSpaceDN/>
      <w:adjustRightInd/>
      <w:spacing w:before="100" w:beforeAutospacing="1" w:after="100" w:afterAutospacing="1"/>
      <w:textAlignment w:val="center"/>
    </w:pPr>
    <w:rPr>
      <w:sz w:val="24"/>
      <w:szCs w:val="24"/>
    </w:rPr>
  </w:style>
  <w:style w:type="paragraph" w:customStyle="1" w:styleId="xl77">
    <w:name w:val="xl77"/>
    <w:basedOn w:val="Normal"/>
    <w:uiPriority w:val="99"/>
    <w:rsid w:val="007677BB"/>
    <w:pPr>
      <w:widowControl/>
      <w:pBdr>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 w:type="character" w:customStyle="1" w:styleId="depttitle">
    <w:name w:val="depttitle"/>
    <w:basedOn w:val="DefaultParagraphFont"/>
    <w:uiPriority w:val="99"/>
    <w:rsid w:val="007677BB"/>
    <w:rPr>
      <w:rFonts w:cs="Times New Roman"/>
    </w:rPr>
  </w:style>
  <w:style w:type="paragraph" w:styleId="BodyText">
    <w:name w:val="Body Text"/>
    <w:basedOn w:val="Normal"/>
    <w:link w:val="BodyTextChar"/>
    <w:uiPriority w:val="99"/>
    <w:rsid w:val="007677BB"/>
    <w:pPr>
      <w:widowControl/>
      <w:autoSpaceDE/>
      <w:autoSpaceDN/>
      <w:adjustRightInd/>
      <w:spacing w:after="200" w:line="276" w:lineRule="auto"/>
      <w:jc w:val="center"/>
    </w:pPr>
    <w:rPr>
      <w:b/>
      <w:bCs/>
      <w:smallCaps/>
      <w:sz w:val="22"/>
      <w:szCs w:val="22"/>
    </w:rPr>
  </w:style>
  <w:style w:type="character" w:customStyle="1" w:styleId="BodyTextChar">
    <w:name w:val="Body Text Char"/>
    <w:basedOn w:val="DefaultParagraphFont"/>
    <w:link w:val="BodyText"/>
    <w:uiPriority w:val="99"/>
    <w:semiHidden/>
    <w:locked/>
    <w:rsid w:val="00A715D2"/>
    <w:rPr>
      <w:rFonts w:ascii="Times New Roman" w:hAnsi="Times New Roman" w:cs="Times New Roman"/>
      <w:sz w:val="20"/>
      <w:szCs w:val="20"/>
      <w:lang w:eastAsia="en-US"/>
    </w:rPr>
  </w:style>
  <w:style w:type="paragraph" w:styleId="Footer">
    <w:name w:val="footer"/>
    <w:basedOn w:val="Normal"/>
    <w:link w:val="FooterChar"/>
    <w:uiPriority w:val="99"/>
    <w:locked/>
    <w:rsid w:val="00A80D34"/>
    <w:pPr>
      <w:tabs>
        <w:tab w:val="center" w:pos="4320"/>
        <w:tab w:val="right" w:pos="8640"/>
      </w:tabs>
    </w:pPr>
  </w:style>
  <w:style w:type="character" w:customStyle="1" w:styleId="FooterChar">
    <w:name w:val="Footer Char"/>
    <w:basedOn w:val="DefaultParagraphFont"/>
    <w:link w:val="Footer"/>
    <w:uiPriority w:val="99"/>
    <w:semiHidden/>
    <w:rsid w:val="00142D0B"/>
    <w:rPr>
      <w:rFonts w:ascii="Times New Roman" w:hAnsi="Times New Roman"/>
      <w:sz w:val="20"/>
      <w:szCs w:val="20"/>
    </w:rPr>
  </w:style>
  <w:style w:type="character" w:styleId="PageNumber">
    <w:name w:val="page number"/>
    <w:basedOn w:val="DefaultParagraphFont"/>
    <w:uiPriority w:val="99"/>
    <w:locked/>
    <w:rsid w:val="00A80D3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12</Pages>
  <Words>3266</Words>
  <Characters>18620</Characters>
  <Application>Microsoft Office Outlook</Application>
  <DocSecurity>0</DocSecurity>
  <Lines>0</Lines>
  <Paragraphs>0</Paragraphs>
  <ScaleCrop>false</ScaleCrop>
  <Company>Cleveland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Assessment Report for the </dc:title>
  <dc:subject/>
  <dc:creator>Richelle Emery</dc:creator>
  <cp:keywords/>
  <dc:description/>
  <cp:lastModifiedBy>IST</cp:lastModifiedBy>
  <cp:revision>3</cp:revision>
  <cp:lastPrinted>2009-06-15T13:15:00Z</cp:lastPrinted>
  <dcterms:created xsi:type="dcterms:W3CDTF">2009-06-08T14:20:00Z</dcterms:created>
  <dcterms:modified xsi:type="dcterms:W3CDTF">2009-06-15T13:15:00Z</dcterms:modified>
</cp:coreProperties>
</file>